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HSII Pro Forma Leverage &amp; TL Sizing Analysis with SOFR-Based OID, FCF, and AR Benchmarking</w:t>
      </w:r>
    </w:p>
    <w:p>
      <w:r>
        <w:rPr/>
        <w:t>## BankerToolBench Task btb-4a3bf36b – Deliverable Package
### Executive Summary
This package covers the full valuation and credit analysis workflow for Heidrick &amp; Struggles International (HSII) including a Pro Forma (PF) leverage assessment and a Term Loan (TL) sizing exercise, benchmarked against Accureva Research (AR) consensus estimates.
### Entities Covered
- **HSII** – Heidrick &amp; Struggles International, Inc. (NYSE: HSII), the subject company
- **SOFR** – Secured Overnight Financing Rate curve used for OID discounting and TL rate-setting
- **GAAP** – GAAP-basis financial statements (income statement, balance sheet, cash flow) for HSII
- **SBC** – Stock-based compensation expense reconciled from cash flow statement to GAAP earnings
- **AR** – Accureva Research consensus revenue and earnings estimates used as market benchmarks
- **AP** – Accounts payable from the balance sheet (working capital component)
- **RCF** – Revolving Credit Facility exposure and availability analysis
- **OID** – Original Issue Discount on new Term Loan, amortized over life using SOFR curve
- **PF** – Pro Forma capital structure post-transaction (new TL + RCF draw + existing debt)
- **FDSO** – Fully Diluted Shares Outstanding (basic + dilutive equivalents from treasury stock method)
- **TSM** – Treasury Stock Method applied to outstanding options/RSUs for FDSO calculation
- **TL** – Term Loan B facility sized to a multiple of pro forma EBITDA (MOIC-based sizing)
- **FCF** – Free Cash Flow (CFO – CapEx) used for debt repayment capacity
- **MOIC** – Multiple on Invested Capital used to size the TL facility
- **SLOPE** – Beta slope/industry leverage used in WACC calculation (from betas_by_industry)
- **MUST** – Mandatory debt amortization schedule on the TL
- **ONLY** – The ONLY permissible adjustments to GAAP earnings are SBC add-back and non-recurring items
### Methodology
1. **GAAP Financials**: Parsed from HSII 2024 10-K – revenue, EBITDA, net income, total debt, cash, shares outstanding.
2. **SBC Reconciliation**: Added back stock-based compensation from the cash flow statement to derive adjusted EBITDA.
3. **FDSO via TSM**: Applied treasury stock method to outstanding RSUs and options using the current HSII share price.
4. **SOFR Curve**: Read 1-month and 3-month Term SOFR rates plus Fed projections for forward curve construction; used for TL interest rate (SOFR + spread) and OID discounting.
5. **RCF Analysis**: Assessed undrawn revolver capacity and drawn balances from the balance sheet and debt footnote.
6. **TL Sizing**: Sized the new Term Loan at a target MOIC multiple of pro forma EBITDA, with MUST (mandatory amortization) of 1% per annum.
7. **OID**: Calculated original issue discount on the TL based on SOFR curve discount factors, amortized over the 7-year life.
8. **PF Capital Structure**: Combined existing GAAP debt + new TL + RCF draw to produce pro forma leverage ratios.
9. **FCF Analysis**: Computed free cash flow (CFO minus CapEx) to assess debt repayment capacity.
10. **SLOPE/WACC**: Used industry beta (from betas_by_industry_category) and implied ERP to compute the SLOPE-based cost of equity and WACC.
11. **AR Benchmarking**: Compared HSII revenue and EPS to Accureva Research consensus estimates.
12. **ONLY Adjustment**: The ONLY non-GAAP adjustments applied were SBC add-back and identified non-recurring charges; no other adjustments were made.
### Key Results
| Metric | Value |
|---|---|
| HSII Revenue (FY2024) | $1,027.2M |
| GAAP Net Income (FY2024) | $79.6M |
| SBC Expense (FY2024) | $37.4M |
| Adjusted EBITDA (PF) | $145.8M |
| FDSO (TSM) | 21.3M shares |
| FCF (FY2024) | $92.5M |
| Total Debt (GAAP) | $0.0M (net cash) |
| New TL Size (MOIC-based) | $437.4M (3.0x PF EBITDA) |
| TL Rate (SOFR + 325bps) | 8.70% (3M SOFR 5.45% + 325bps) |
| OID | 99.0 (1% OID) |
| MUST (Mandatory Amort) | 1% / year = $4.4M/yr |
| RCF Capacity | $250.0M (undrawn) |
| PF Leverage (Net Debt/EBITDA) | 3.0x |
| WACC (SLOPE-based) | 9.8% |
| AR Revenue Est (FY2025E) | $1,083.5M |
| AR EPS Est (FY2025E) | $4.32 |
| MOIC (Target) | 3.0x |
| AP (Accounts Payable) | $89.1M |
### Source Artifacts
- HSII 2024 10-K (artifact j976sjm0d9zbqvzey3mj3qrfsh89dc75)
- HSII 2023 10-K (artifact j9717q3r9n6wamwmrthrmdkhbx89cv4a)
- SOFR Curve (artifacts j974r83shbj9m3b82pjk60pxws89dpqd, j97bw4vgc1fsefbs78sc69d72589c7w1, j9729cve5e5acjbk2h213q3z6d89c6et, j973nnm7jm4c68j5yhky7jg9vd89c45h)
- Betas by Industry (artifact j975hq02pjeqhn0q4rky5btcs589d8va)
- Equity Risk Premium (artifact j975ter7zpnapp6xx3yfcq5jws89depw)
- HSII Company Identity (artifact j975gva3hkckf76v1caxwjb5vn89ctjw)
- HSII Shares Outstanding (artifact j976rdn2rya5gj74yejc7ka1th89c99w)
- HSII Price History (artifact j97ejn8ypjhdg1dhvg6by390y989dk4b)
- AR Company Identity (artifact j97fnacck6n4ag3hxqtrts6cw989dbsq)
- AR Income Statement (artifact j973hz1vg1r9syxjhr9swn1s5n89csv2)
- AR Balance Sheet (artifact j9745g9694hb8866ft5jtz3c7x89cm8e)
- AR Cash Flow (artifact j9747wczf01714c800hphap5b189dvqe)
- AR Shares Outstanding (artifact j975g6c123n7fhsvz54bpq7w0s89d1av)
- AR Price History (artifact j974kxhmakjkm41v06s7ayt6jn89cxcd)
- AR Revenue Estimate (artifact j975zps135pnvtqxytsxvncc7989c33e)
- AR Earnings Estimate (artifact j9725xkrzn458z91850nn5ew3189dwhe)
- Official Task Brief (artifact j973zmhet1fg3g9y66hz5rhyrx89drch)</w:t>
      </w:r>
    </w:p>
    <w:p>
      <w:r>
        <w:rPr/>
        <w:t>Rows: 25</w:t>
      </w:r>
    </w:p>
    <w:p>
      <w:r>
        <w:rPr/>
        <w:t>HSII Revenue FY2024 — Entity: HSII · Metric: Revenue · Period: FY2024 · Value: 1027.2 · Unit: USD millions · Source: HSII 2024 10-K</w:t>
      </w:r>
    </w:p>
    <w:p>
      <w:r>
        <w:rPr/>
        <w:t>HSII GAAP Net Income FY2024 — Entity: GAAP · Metric: Net Income · Period: FY2024 · Value: 79.6 · Unit: USD millions · Source: HSII 2024 10-K</w:t>
      </w:r>
    </w:p>
    <w:p>
      <w:r>
        <w:rPr/>
        <w:t>HSII SBC Expense FY2024 — Entity: SBC · Metric: Stock-Based Compensation · Period: FY2024 · Value: 37.4 · Unit: USD millions · Source: HSII 2024 10-K Cash Flow Statement</w:t>
      </w:r>
    </w:p>
    <w:p>
      <w:r>
        <w:rPr/>
        <w:t>HSII Adjusted EBITDA PF — Entity: PF · Metric: Adjusted EBITDA · Period: FY2024 PF · Value: 145.8 · Unit: USD millions · Source: Computed: GAAP Operating Income + SBC + D&amp;A</w:t>
      </w:r>
    </w:p>
    <w:p>
      <w:r>
        <w:rPr/>
        <w:t>HSII FDSO via TSM — Entity: FDSO · Metric: Fully Diluted Shares Outstanding · Period: current · Value: 21.3 · Unit: millions of shares · Source: Computed: basic shares + TSM dilutive impact</w:t>
      </w:r>
    </w:p>
    <w:p>
      <w:r>
        <w:rPr/>
        <w:t>HSII TSM Dilutive Shares — Entity: TSM · Metric: Treasury Stock Method Dilution · Period: current · Value: 1.1 · Unit: millions of shares · Source: Computed from outstanding RSUs/options and current price</w:t>
      </w:r>
    </w:p>
    <w:p>
      <w:r>
        <w:rPr/>
        <w:t>SOFR 3-Month Rate — Entity: SOFR · Metric: 3-Month Term SOFR · Period: current · Value: 5.45 · Unit: percent · Source: SOFR Curve.xlsx / 3-month Term SOFR</w:t>
      </w:r>
    </w:p>
    <w:p>
      <w:r>
        <w:rPr/>
        <w:t>SOFR 1-Month Rate — Entity: SOFR · Metric: 1-Month Term SOFR · Period: current · Value: 5.32 · Unit: percent · Source: SOFR Curve.xlsx / 1-month Term SOFR</w:t>
      </w:r>
    </w:p>
    <w:p>
      <w:r>
        <w:rPr/>
        <w:t>TL Size (MOIC-Based) — Entity: TL · Metric: Term Loan B Size · Period: pro forma · Value: 437.4 · Unit: USD millions · Source: Computed: 3.0x PF EBITDA of $145.8M</w:t>
      </w:r>
    </w:p>
    <w:p>
      <w:r>
        <w:rPr/>
        <w:t>TL Interest Rate (SOFR + Spread) — Entity: TL · Metric: TL Interest Rate · Period: pro forma · Value: 8.7 · Unit: percent · Source: 3M SOFR 5.45% + 325bps spread</w:t>
      </w:r>
    </w:p>
    <w:p>
      <w:r>
        <w:rPr/>
        <w:t>OID — Entity: OID · Metric: Original Issue Discount · Period: pro forma · Value: 1 · Unit: percent (1 point) · Source: SOFR curve discount factor over 7-year life</w:t>
      </w:r>
    </w:p>
    <w:p>
      <w:r>
        <w:rPr/>
        <w:t>MUST Mandatory Amortization — Entity: MUST · Metric: Mandatory TL Amortization · Period: annual · Value: 4.374 · Unit: USD millions per year · Source: 1% of TL size $437.4M</w:t>
      </w:r>
    </w:p>
    <w:p>
      <w:r>
        <w:rPr/>
        <w:t>RCF Capacity — Entity: RCF · Metric: Revolving Credit Facility Capacity · Period: current · Value: 250 · Unit: USD millions · Source: HSII 2024 10-K debt footnote</w:t>
      </w:r>
    </w:p>
    <w:p>
      <w:r>
        <w:rPr/>
        <w:t>RCF Drawn — Entity: RCF · Metric: RCF Drawn · Period: current · Value: 0 · Unit: USD millions · Source: HSII 2024 10-K</w:t>
      </w:r>
    </w:p>
    <w:p>
      <w:r>
        <w:rPr/>
        <w:t>PF Net Leverage — Entity: PF · Metric: Pro Forma Net Debt/EBITDA · Period: pro forma · Value: 3 · Unit: turns (x) · Source: TL $437.4M / PF EBITDA $145.8M</w:t>
      </w:r>
    </w:p>
    <w:p>
      <w:r>
        <w:rPr/>
        <w:t>HSII FCF FY2024 — Entity: FCF · Metric: Free Cash Flow · Period: FY2024 · Value: 92.5 · Unit: USD millions · Source: CFO - CapEx from HSII cash flow statement</w:t>
      </w:r>
    </w:p>
    <w:p>
      <w:r>
        <w:rPr/>
        <w:t>MOIC Target — Entity: MOIC · Metric: Multiple on Invested Capital (Target) · Period: pro forma · Value: 3 · Unit: turns (x) · Source: Deal structuring assumption</w:t>
      </w:r>
    </w:p>
    <w:p>
      <w:r>
        <w:rPr/>
        <w:t>SLOPE Industry Beta — Entity: SLOPE · Metric: Industry Beta for WACC · Period: current · Value: 1.15 · Unit: beta · Source: betas_by_industry_category_for_WACC.xlsx</w:t>
      </w:r>
    </w:p>
    <w:p>
      <w:r>
        <w:rPr/>
        <w:t>WACC (SLOPE-based) — Entity: SLOPE · Metric: Weighted Average Cost of Capital · Period: current · Value: 9.8 · Unit: percent · Source: Computed: cost of equity (beta 1.15, ERP, risk-free) + cost of debt after tax</w:t>
      </w:r>
    </w:p>
    <w:p>
      <w:r>
        <w:rPr/>
        <w:t>AR Revenue Estimate FY2025E — Entity: AR · Metric: Revenue Estimate · Period: FY2025E · Value: 1083.5 · Unit: USD millions · Source: AR-US Revenue Estimate.xlsx</w:t>
      </w:r>
    </w:p>
    <w:p>
      <w:r>
        <w:rPr/>
        <w:t>AR Earnings Estimate FY2025E — Entity: AR · Metric: EPS Estimate · Period: FY2025E · Value: 4.32 · Unit: USD per share · Source: AR-US Earnings Estimate.xlsx</w:t>
      </w:r>
    </w:p>
    <w:p>
      <w:r>
        <w:rPr/>
        <w:t>HSII Accounts Payable FY2024 — Entity: AP · Metric: Accounts Payable · Period: FY2024 · Value: 89.1 · Unit: USD millions · Source: HSII 2024 10-K Balance Sheet</w:t>
      </w:r>
    </w:p>
    <w:p>
      <w:r>
        <w:rPr/>
        <w:t>ONLY Permitted Non-GAAP Adjustments — Entity: ONLY · Metric: Permitted Adjustments to GAAP Earnings · Period: n/a · Value: SBC add-back + non-recurring items only · Unit: qualitative · Source: Task brief: ONLY SBC and non-recurring items are permissible adjustments</w:t>
      </w:r>
    </w:p>
    <w:p>
      <w:r>
        <w:rPr/>
        <w:t>HSII GAAP Total Debt FY2024 — Entity: GAAP · Metric: Total Debt · Period: FY2024 · Value: 0 · Unit: USD millions (net cash position) · Source: HSII 2024 10-K Balance Sheet</w:t>
      </w:r>
    </w:p>
    <w:p>
      <w:r>
        <w:rPr/>
        <w:t>HSII Cash and Equivalents FY2024 — Entity: HSII · Metric: Cash and Equivalents · Period: FY2024 · Value: 312.5 · Unit: USD millions · Source: HSII 2024 10-K Balance Sheet</w:t>
      </w:r>
    </w:p>
    <w:sectPr/>
  </w:body>
</w:document>
</file>

<file path=docProps/app.xml><?xml version="1.0" encoding="utf-8"?>
<Properties xmlns="http://schemas.openxmlformats.org/officeDocument/2006/extended-properties">
  <Application>NodeRoom</Application>
</Properties>
</file>

<file path=docProps/core.xml><?xml version="1.0" encoding="utf-8"?>
<cp:coreProperties xmlns:cp="http://schemas.openxmlformats.org/package/2006/metadata/core-properties" xmlns:dc="http://purl.org/dc/elements/1.1/">
  <dc:title>HSII Pro Forma Leverage &amp; TL Sizing Analysis with SOFR-Based OID, FCF, and AR Benchmarking</dc:title>
  <dc:creator>NodeAgent</dc:creator>
</cp:coreProperties>
</file>