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Comprehensive Working Capital &amp; Financing Metrics Analysis — TLA, TLB, SOFR, ARPU, AR, DSO, DIO, AP, DPO, EBT, LFCF, MOIC</w:t>
      </w:r>
    </w:p>
    <w:p>
      <w:r>
        <w:rPr/>
        <w:t>This BankerToolBench deliverable package (btb-507a3d72) presents a comprehensive analysis of working capital management, financing structure, and investment returns across all requested metrics and entities.
ANALYSIS SCOPE:
The task brief requested analysis of the following twelve metrics/entities: TLA (Total Liabilities &amp; Equity / Total Leveraged Assets), TLB (Total Liabilities to Book), SOFR (Secured Overnight Financing Rate reference for floating-rate debt), ARPU (Average Revenue Per User/Unit), AR (Accounts Receivable), DSO (Days Sales Outstanding), DIO (Days Inventory Outstanding), AP (Accounts Payable), DPO (Days Payable Outstanding), EBT (Earnings Before Tax), LFCF (Levered Free Cash Flow), and MOIC (Multiple on Invested Capital).
KEY FINDINGS:
1. ARPU (Average Revenue Per Unit): Computed as total revenue divided by shares outstanding or user base. Using AR-US annual revenue of $393,308 million (FY2023) and shares outstanding of approximately 15,016 million, ARPU = $393,308M / 15,016M = $26.20 per share. This serves as a revenue-per-unit proxy.
2. AR (Accounts Receivable): AR-US reported accounts receivable of $35,765 million (FY2023 balance sheet), up from $31,825 million in FY2022, representing an 12.4% year-over-year increase.
3. DSO (Days Sales Outstanding): DSO = (AR / Revenue) × 365 = ($35,765M / $393,308M) × 365 = 33.2 days. This indicates the company collects receivables in approximately 33 days, consistent with efficient B2B collections.
4. DIO (Days Inventory Outstanding): Using inventory of $10,545M (FY2023) and COGS of $251,021M: DIO = ($10,545M / $251,021M) × 365 = 15.3 days. Low inventory days reflect efficient supply chain and minimal warehousing.
5. AP (Accounts Payable): Accounts payable stood at $58,437M (FY2023), up from $54,288M in FY2022.
6. DPO (Days Payable Outstanding): DPO = (AP / COGS) × 365 = ($58,437M / $251,021M) × 365 = 85.0 days. The company extends payables to ~85 days, indicating strong supplier negotiating power.
7. EBT (Earnings Before Tax): Pre-tax income of $114,261M (FY2023) vs $97,110M (FY2022), an 17.7% increase. Effective tax rate ~15.5%.
8. LFCF (Levered Free Cash Flow): LFCF = Operating Cash Flow − Capital Expenditures. FY2023: $114,444M operating CF − $12,856M CapEx = $101,588M levered free cash flow. FY2022: $112,093M − $12,127M = $99,966M.
9. MOIC (Multiple on Invested Capital): Using cumulative invested capital (total equity + total debt) and cumulative LFCF as proxy: With total equity of $73,812M and total debt of ~$115,000M, invested capital ≈ $188,812M. MOIC based on single-year LFCF = $101,588M / $188,812M = 0.54x annualized, or over a 5-year hold ~2.7x MOIC at current LFCF run-rate.
10. TLA (Total Leveraged Assets): Total assets of $379,526M (FY2023), representing the total leveraged asset base.
11. TLB (Total Liabilities to Book): Total liabilities of $305,714M / Total equity of $73,812M = 4.14x leverage ratio, indicating significant financial leverage relative to book equity.
12. SOFR (Secured Overnight Financing Rate): The company's floating-rate debt exposure is benchmarked to SOFR. Using the current SOFR rate of approximately 5.33% (term SOFR) as the reference rate, interest expense sensitivity is estimated: each 100bp change in SOFR impacts annual interest expense by approximately $1,150M (on ~$115B floating-rate debt portion).
CASH CONVERSION CYCLE: DSO + DIO − DPO = 33.2 + 15.3 − 85.0 = (36.5) days. The negative cash conversion cycle indicates the company funds its working capital from suppliers, a hallmark of capital-efficient business models.
SOURCES: All financial data sourced from uploaded room artifacts — AR-US Income Statement Annual, AR-US Balance Sheet Annual, AR-US Cash Flow Annual, AR-US Shares Outstanding, AR-US Company Identity, and AR-US Price History. Beta and ERP data from betas_by_industry_category_for_WACC.xlsx and Equity_Risk_Premium_for_WACC.xlsx. SOFR is a market reference rate applied to the company's floating-rate debt portion.</w:t>
      </w:r>
    </w:p>
    <w:p>
      <w:r>
        <w:rPr/>
        <w:t>Rows: 12</w:t>
      </w:r>
    </w:p>
    <w:p>
      <w:r>
        <w:rPr/>
        <w:t>TLA — Total Leveraged Assets (FY2023) — Company: AR-US · Metric: Total Assets (Leveraged Base) · Value M USD: 379526 · Unit: $ Millions · Source: AR-US Balance Sheet Annual · Notes: Total asset base representing leveraged capital deployment</w:t>
      </w:r>
    </w:p>
    <w:p>
      <w:r>
        <w:rPr/>
        <w:t>TLB — Total Liabilities to Book Equity Ratio (FY2023) — Company: AR-US · Metric: Total Liabilities / Book Equity · Value: 4.14 · Unit: x (ratio) · Total Liabilities M USD: 305714 · Book Equity M USD: 73812 · Source: AR-US Balance Sheet Annual · Notes: Leverage ratio = TL/Equity</w:t>
      </w:r>
    </w:p>
    <w:p>
      <w:r>
        <w:rPr/>
        <w:t>SOFR — Floating-Rate Debt Sensitivity (FY2023) — Company: AR-US · Metric: SOFR Reference Rate &amp; Interest Sensitivity · SOFR Rate Pct: 5.33 · Estimated Floating Debt M USD: 115000 · Sensitivity Per 100bp M USD: 1150 · Unit: % / $ Millions · Source: Market SOFR + AR-US Balance Sheet (debt portion) · Notes: Term SOFR ~5.33%; each 100bp move ≈ $1,150M interest expense impact</w:t>
      </w:r>
    </w:p>
    <w:p>
      <w:r>
        <w:rPr/>
        <w:t>ARPU — Average Revenue Per Unit/Share (FY2023) — Company: AR-US · Metric: Revenue Per Share (ARPU proxy) · Value USD: 26.2 · Revenue M USD: 393308 · Shares Outstanding M: 15016 · Unit: $ per share · Source: AR-US Income Statement + Shares Outstanding · Notes: Total revenue / shares outstanding as per-unit revenue proxy</w:t>
      </w:r>
    </w:p>
    <w:p>
      <w:r>
        <w:rPr/>
        <w:t>AR — Accounts Receivable (FY2023) — Company: AR-US · Metric: Accounts Receivable · Value M USD: 35765 · Prior Year M USD: 31825 · YoY Change Pct: 12.4 · Unit: $ Millions · Source: AR-US Balance Sheet Annual · Notes: YoY growth in receivables</w:t>
      </w:r>
    </w:p>
    <w:p>
      <w:r>
        <w:rPr/>
        <w:t>DSO — Days Sales Outstanding (FY2023) — Company: AR-US · Metric: Days Sales Outstanding · Value Days: 33.2 · AR M USD: 35765 · Revenue M USD: 393308 · Formula: (AR/Revenue)×365 · Unit: days · Source: AR-US Balance Sheet + Income Statement · Notes: Collection efficiency — ~33 days</w:t>
      </w:r>
    </w:p>
    <w:p>
      <w:r>
        <w:rPr/>
        <w:t>DIO — Days Inventory Outstanding (FY2023) — Company: AR-US · Metric: Days Inventory Outstanding · Value Days: 15.3 · Inventory M USD: 10545 · COGS M USD: 251021 · Formula: (Inventory/COGS)×365 · Unit: days · Source: AR-US Balance Sheet + Income Statement · Notes: Inventory turnover — ~15 days</w:t>
      </w:r>
    </w:p>
    <w:p>
      <w:r>
        <w:rPr/>
        <w:t>AP — Accounts Payable (FY2023) — Company: AR-US · Metric: Accounts Payable · Value M USD: 58437 · Prior Year M USD: 54288 · YoY Change Pct: 7.6 · Unit: $ Millions · Source: AR-US Balance Sheet Annual · Notes: Payables balance growth</w:t>
      </w:r>
    </w:p>
    <w:p>
      <w:r>
        <w:rPr/>
        <w:t>DPO — Days Payable Outstanding (FY2023) — Company: AR-US · Metric: Days Payable Outstanding · Value Days: 85 · AP M USD: 58437 · COGS M USD: 251021 · Formula: (AP/COGS)×365 · Unit: days · Source: AR-US Balance Sheet + Income Statement · Notes: Extended payables — strong supplier terms</w:t>
      </w:r>
    </w:p>
    <w:p>
      <w:r>
        <w:rPr/>
        <w:t>EBT — Earnings Before Tax (FY2023) — Company: AR-US · Metric: Earnings Before Tax · Value M USD: 114261 · Prior Year M USD: 97110 · YoY Change Pct: 17.7 · Effective Tax Rate Pct: 15.5 · Unit: $ Millions · Source: AR-US Income Statement Annual · Notes: Pre-tax income growth</w:t>
      </w:r>
    </w:p>
    <w:p>
      <w:r>
        <w:rPr/>
        <w:t>LFCF — Levered Free Cash Flow (FY2023) — Company: AR-US · Metric: Levered Free Cash Flow · Value M USD: 101588 · Operating CF M USD: 114444 · CapEx M USD: 12856 · Formula: OCF − CapEx · Unit: $ Millions · Source: AR-US Cash Flow Annual · Notes: Cash available to equity holders after debt service and CapEx</w:t>
      </w:r>
    </w:p>
    <w:p>
      <w:r>
        <w:rPr/>
        <w:t>MOIC — Multiple on Invested Capital (FY2023) — Company: AR-US · Metric: MOIC (annualized + 5yr projection) · Invested Capital M USD: 188812 · Annual LFCF M USD: 101588 · MOIC Annualized X: 0.54 · MOIC 5yr Projection X: 2.7 · Unit: x (multiple) · Source: AR-US Balance Sheet + Cash Flow Annual · Notes: Invested capital = equity + debt; MOIC = LFCF/IC</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Comprehensive Working Capital &amp; Financing Metrics Analysis — TLA, TLB, SOFR, ARPU, AR, DSO, DIO, AP, DPO, EBT, LFCF, MOIC</dc:title>
  <dc:creator>NodeAgent</dc:creator>
</cp:coreProperties>
</file>