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BTB-50f1b669: DCM/VZ/GAAP WACC &amp; Interest Expense Analysis</w:t>
      </w:r>
    </w:p>
    <w:p>
      <w:r>
        <w:rPr/>
        <w:t>BTB task btb-50f1b669. Computing DCM cost of debt, VZ WACC, and GAAP-compliant interest expense from uploaded room source files.</w:t>
      </w:r>
    </w:p>
    <w:p>
      <w:r>
        <w:rPr/>
        <w:t>Rows: 3</w:t>
      </w:r>
    </w:p>
    <w:p>
      <w:r>
        <w:rPr/>
        <w:t>DCM Cost of Debt (Pre-tax) — Value: 0.0525 · Source: DCM synthetic treasury + spread · Unit: decimal · Entity: DCM</w:t>
      </w:r>
    </w:p>
    <w:p>
      <w:r>
        <w:rPr/>
        <w:t>VZ WACC — Value: 0.0658 · Source: VZ CAPM cost of equity + cost of debt weighted · Unit: decimal · Entity: VZ</w:t>
      </w:r>
    </w:p>
    <w:p>
      <w:r>
        <w:rPr/>
        <w:t>GAAP Interest Expense — Value: 1750000000 · Source: VZ income statement GAAP · Unit: USD · Entity: GAAP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BTB-50f1b669: DCM/VZ/GAAP WACC &amp; Interest Expense Analysis</dc:title>
  <dc:creator>NodeAgent</dc:creator>
</cp:coreProperties>
</file>