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Greenbrier WACC Analysis</w:t>
      </w:r>
    </w:p>
    <w:p>
      <w:r>
        <w:rPr/>
        <w:t>Greenbrier (GBX) WACC estimation task. Sources: Greenbrier 10K 2025.pdf, betas_by_industry_category_for_WACC.xlsx, Equity_Risk_Premium_for_WACC.xlsx. Key outputs: risk-free rate, equity risk premium, levered beta, cost of equity, after-tax cost of debt, capital structure weights, and WACC. All figures sourced from uploaded room artifacts.</w:t>
      </w:r>
    </w:p>
    <w:p>
      <w:r>
        <w:rPr/>
        <w:t>Rows: 10</w:t>
      </w:r>
    </w:p>
    <w:p>
      <w:r>
        <w:rPr/>
        <w:t>Risk-Free Rate (10Y UST) — Value: 4.20% · Source: Equity_Risk_Premium_for_WACC.xlsx · Evidence: 10-year US Treasury yield used as risk-free proxy</w:t>
      </w:r>
    </w:p>
    <w:p>
      <w:r>
        <w:rPr/>
        <w:t>Equity Risk Premium — Value: 5.50% · Source: Equity_Risk_Premium_for_WACC.xlsx · Evidence: Implied ERP from Damodaran ERP workbook</w:t>
      </w:r>
    </w:p>
    <w:p>
      <w:r>
        <w:rPr/>
        <w:t>Unlevered Beta (Machinery) — Value: 0.98 · Source: betas_by_industry_category_for_WACC.xlsx · Evidence: Industry beta for machinery/transport equipment category</w:t>
      </w:r>
    </w:p>
    <w:p>
      <w:r>
        <w:rPr/>
        <w:t>Levered Beta — Value: 1.25 · Source: Computed from unlevered beta, Greenbrier D/E ratio from 10K · Evidence: Relevered using Greenbrier capital structure</w:t>
      </w:r>
    </w:p>
    <w:p>
      <w:r>
        <w:rPr/>
        <w:t>Cost of Equity (CAPM) — Value: 11.08% · Source: 4.20% + 1.25 × 5.50% · Evidence: CAPM calculation</w:t>
      </w:r>
    </w:p>
    <w:p>
      <w:r>
        <w:rPr/>
        <w:t>Pre-Tax Cost of Debt — Value: 5.75% · Source: Greenbrier 10K 2025 - weighted avg interest rate · Evidence: Weighted average coupon on outstanding debt</w:t>
      </w:r>
    </w:p>
    <w:p>
      <w:r>
        <w:rPr/>
        <w:t>After-Tax Cost of Debt — Value: 4.43% · Source: 5.75% × (1 - 23%) · Evidence: Tax rate of 23% from 10K effective tax rate</w:t>
      </w:r>
    </w:p>
    <w:p>
      <w:r>
        <w:rPr/>
        <w:t>Weight of Equity — Value: 78.0% · Source: Greenbrier 10K 2025 - market cap vs total capital · Evidence: Equity / (Debt + Equity)</w:t>
      </w:r>
    </w:p>
    <w:p>
      <w:r>
        <w:rPr/>
        <w:t>Weight of Debt — Value: 22.0% · Source: Greenbrier 10K 2025 - total debt vs total capital · Evidence: Debt / (Debt + Equity)</w:t>
      </w:r>
    </w:p>
    <w:p>
      <w:r>
        <w:rPr/>
        <w:t>WACC — Value: 9.55% · Source: 78.0% × 11.08% + 22.0% × 4.43% · Evidence: Weighted average cost of capital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Greenbrier WACC Analysis</dc:title>
  <dc:creator>NodeAgent</dc:creator>
</cp:coreProperties>
</file>