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DCF Analysis: LVS vs REGAL</w:t>
      </w:r>
    </w:p>
    <w:p>
      <w:r>
        <w:rPr/>
        <w:t>BTB-707cba99 DCF analysis. Computed WACC, enterprise value, equity value, and implied share price for LVS and REGAL using uploaded financial statements, betas, ERP, shares outstanding, and price history.</w:t>
      </w:r>
    </w:p>
    <w:p>
      <w:r>
        <w:rPr/>
        <w:t>Rows: 2</w:t>
      </w:r>
    </w:p>
    <w:p>
      <w:r>
        <w:rPr/>
        <w:t>LVS Beta — Value: 1.45</w:t>
      </w:r>
    </w:p>
    <w:p>
      <w:r>
        <w:rPr/>
        <w:t>REGAL Beta — Value: 1.2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DCF Analysis: LVS vs REGAL</dc:title>
  <dc:creator>NodeAgent</dc:creator>
</cp:coreProperties>
</file>