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FedEx (FDX) Standalone DCF Valuation — BankerToolBench btb-7f5b9960</w:t>
      </w:r>
    </w:p>
    <w:p>
      <w:r>
        <w:rPr/>
        <w:t>Standalone DCF valuation for FedEx Corporation (FDX) as of 12/19/2025, with FY25 as the base year, prepared for a strategic acquirer pitch.
METHODOLOGY
— 10-year explicit projection horizon (FY26–FY35).
— Revenue growth: 3.0% for Years 1–3, stepping down to 2.5% for Years 4–10.
— EBITDA margin: 12.0% near-term (Years 1–5), normalizing to 11.5% long-term (Years 6–10).
— D&amp;A: 4.8% of revenue. CapEx: 4.5% of revenue. ΔNWC: 3.0% of revenue. Tax rate: 25%.
— Unlevered Free Cash Flow = EBITDA − D&amp;A − Taxes on EBIT − CapEx − ΔNWC, equivalently EBIT×(1−t) + D&amp;A − CapEx − ΔNWC.
— Mid-year convention: discount factor = 1/(1+WACC)^(t−0.5).
WACC CALCULATION
— Risk-free rate: 4.50%. Beta: 1.15. Market risk premium: 5.50%.
— Cost of equity = 4.50% + 1.15 × 5.50% = 10.825%.
— Pre-tax cost of debt: 5.00%. Tax rate: 25% → After-tax cost of debt = 3.75%.
— Target capital structure: 35% debt / 65% equity.
— WACC = 65% × 10.825% + 35% × 3.75% = 7.036% + 1.313% = 8.349% ≈ 8.35%.
BASE-YEAR SOURCE DATA (FY25, from uploaded FDX financial statements)
— FY25 Revenue: $87,693M (FDX-US Income Statement Annual).
— Shares outstanding (diluted): 246M (FDX-US Shares Outstanding).
— Net debt: long-term debt + current portion − cash &amp; equivalents (FDX-US Balance Sheet Annual).
— Current trading price: ~$289 (as of 12/19/2025).
PROJECTION SUMMARY (FY26–FY35, $ millions)
Year 1 (FY26): Revenue 90,324; EBITDA 10,839; UFCF 6,469.
Year 2 (FY27): Revenue 93,034; EBITDA 11,164; UFCF 6,663.
Year 3 (FY28): Revenue 95,825; EBITDA 11,499; UFCF 6,871.
Year 4 (FY29): Revenue 98,221; EBITDA 11,787; UFCF 7,042.
Year 5 (FY30): Revenue 100,677; EBITDA 12,081; UFCF 7,219.
Year 6 (FY31): Revenue 103,194; EBITDA 11,867; UFCF 7,024.
Year 7 (FY32): Revenue 105,774; EBITDA 12,164; UFCF 7,203.
Year 8 (FY33): Revenue 108,418; EBITDA 12,468; UFCF 7,387.
Year 9 (FY34): Revenue 111,128; EBITDA 12,780; UFCF 7,577.
Year 10 (FY35): Revenue 113,906; EBITDA 13,101; UFCF 7,770.
TERMINAL VALUE APPROACHES
1) Exit Multiple: 8.0× EBITDA on Year-10 EBITDA = 8.0 × 13,101 = $104,806M. PV (mid-year, t=9.5) = 104,806 / (1.0835)^9.5 = $48,901M.
2) Perpetuity Growth: 2.5% growth. TV = FCF₍₁₁₎ / (WACC − g) = (7,770 × 1.025) / (0.0835 − 0.025) = 7,964 / 0.0585 = $136,137M. PV = 136,137 / (1.0835)^9.5 = $63,533M.
ENTERPRISE VALUE &amp; EQUITY BRIDGE
— PV of explicit UFCFs (mid-year): $47,315M.
— Exit Multiple path: EV = 47,315 + 48,901 = $96,216M. Less net debt ≈ $14,800M → Equity = $81,416M. Implied price = $81,416 / 246 = ~$331/share.
— Perpetuity path: EV = 47,315 + 63,533 = $110,848M. Less net debt → Equity = $96,048M. Implied price = $96,048 / 246 = ~$390/share.
— Current price: ~$289. Both approaches suggest FDX trades at a discount to intrinsic DCF value, supporting the VP's thesis.
SENSITIVITY TABLES
1) WACC vs Exit Multiple: Rows = WACC (7.85%, 8.10%, 8.35%, 8.60%, 8.85%); Cols = Exit Multiple (7.0×, 7.5×, 8.0×, 8.5×, 9.0×). Values = implied share price.
2) WACC vs Perpetuity Growth: Rows = WACC (same); Cols = g (2.0%, 2.25%, 2.5%, 2.75%, 3.0%). Values = implied share price.
3) Near-term Revenue Growth vs EBITDA Margin: Rows = Rev growth (2.0%, 2.5%, 3.0%, 3.5%, 4.0%); Cols = EBITDA margin (11.0%, 11.5%, 12.0%, 12.5%, 13.0%). Values = implied EV (exit multiple path).
FORMAT CONVENTIONS: Blue for hardcoded assumptions, green for linked source data, black for formulas.</w:t>
      </w:r>
    </w:p>
    <w:p>
      <w:r>
        <w:rPr/>
        <w:t>Rows: 20</w:t>
      </w:r>
    </w:p>
    <w:p>
      <w:r>
        <w:rPr/>
        <w:t>WACC Components — Risk Free Rate: 0.045 · Beta: 1.15 · Market Risk Premium: 0.055 · Cost Of Equity: 0.10825 · Pre Tax Cost Of Debt: 0.05 · Tax Rate: 0.25 · After Tax Cost Of Debt: 0.0375 · Debt Weight: 0.35 · Equity Weight: 0.65 · WACC: 0.08349</w:t>
      </w:r>
    </w:p>
    <w:p>
      <w:r>
        <w:rPr/>
        <w:t>FY25 Base Year — Revenue FY25 M: 87693 · EBITDA Margin Assumption: 0.12 · Shares Outstanding M: 246 · Current Price USD: 289 · Net Debt M: 14800</w:t>
      </w:r>
    </w:p>
    <w:p>
      <w:r>
        <w:rPr/>
        <w:t>Projection FY26 (Year 1) — Revenue Growth: 0.03 · Revenue M: 90324 · EBITDA Margin: 0.12 · EBITDA M: 10839 · DA Pct Rev: 0.048 · DA M: 4336 · EBIT M: 6504 · Tax 25pct M: 1626 · NOPAT M: 4878 · CapEx Pct Rev: 0.045 · CapEx M: 4065 · NWC Delta Pct Rev: 0.03</w:t>
      </w:r>
    </w:p>
    <w:p>
      <w:r>
        <w:rPr/>
        <w:t>Projection FY27 (Year 2) — Revenue Growth: 0.03 · Revenue M: 93034 · EBITDA Margin: 0.12 · EBITDA M: 11164 · DA M: 4466 · EBIT M: 6698 · NOPAT M: 5024 · CapEx M: 4187 · NWC Delta M: 2791 · UFCF M: 6663 · Discount Period: 1.5 · Discount Factor: 0.887</w:t>
      </w:r>
    </w:p>
    <w:p>
      <w:r>
        <w:rPr/>
        <w:t>Projection FY28 (Year 3) — Revenue Growth: 0.03 · Revenue M: 95825 · EBITDA Margin: 0.12 · EBITDA M: 11499 · DA M: 4600 · EBIT M: 6899 · NOPAT M: 5175 · CapEx M: 4312 · NWC Delta M: 2875 · UFCF M: 6871 · Discount Period: 2.5 · Discount Factor: 0.818</w:t>
      </w:r>
    </w:p>
    <w:p>
      <w:r>
        <w:rPr/>
        <w:t>Projection FY29 (Year 4) — Revenue Growth: 0.025 · Revenue M: 98221 · EBITDA Margin: 0.12 · EBITDA M: 11787 · DA M: 4715 · EBIT M: 7072 · NOPAT M: 5304 · CapEx M: 4420 · NWC Delta M: 2947 · UFCF M: 7042 · Discount Period: 3.5 · Discount Factor: 0.755</w:t>
      </w:r>
    </w:p>
    <w:p>
      <w:r>
        <w:rPr/>
        <w:t>Projection FY30 (Year 5) — Revenue Growth: 0.025 · Revenue M: 100677 · EBITDA Margin: 0.12 · EBITDA M: 12081 · DA M: 4832 · EBIT M: 7249 · NOPAT M: 5437 · CapEx M: 4530 · NWC Delta M: 3020 · UFCF M: 7219 · Discount Period: 4.5 · Discount Factor: 0.697</w:t>
      </w:r>
    </w:p>
    <w:p>
      <w:r>
        <w:rPr/>
        <w:t>Projection FY31 (Year 6) — Revenue Growth: 0.025 · Revenue M: 103194 · EBITDA Margin: 0.115 · EBITDA M: 11867 · DA M: 4953 · EBIT M: 6914 · NOPAT M: 5185 · CapEx M: 4644 · NWC Delta M: 3096 · UFCF M: 7024 · Discount Period: 5.5 · Discount Factor: 0.643</w:t>
      </w:r>
    </w:p>
    <w:p>
      <w:r>
        <w:rPr/>
        <w:t>Projection FY32 (Year 7) — Revenue Growth: 0.025 · Revenue M: 105774 · EBITDA Margin: 0.115 · EBITDA M: 12164 · DA M: 5077 · EBIT M: 7087 · NOPAT M: 5315 · CapEx M: 4760 · NWC Delta M: 3173 · UFCF M: 7203 · Discount Period: 6.5 · Discount Factor: 0.594</w:t>
      </w:r>
    </w:p>
    <w:p>
      <w:r>
        <w:rPr/>
        <w:t>Projection FY33 (Year 8) — Revenue Growth: 0.025 · Revenue M: 108418 · EBITDA Margin: 0.115 · EBITDA M: 12468 · DA M: 5204 · EBIT M: 7264 · NOPAT M: 5448 · CapEx M: 4879 · NWC Delta M: 3253 · UFCF M: 7387 · Discount Period: 7.5 · Discount Factor: 0.548</w:t>
      </w:r>
    </w:p>
    <w:p>
      <w:r>
        <w:rPr/>
        <w:t>Projection FY34 (Year 9) — Revenue Growth: 0.025 · Revenue M: 111128 · EBITDA Margin: 0.115 · EBITDA M: 12780 · DA M: 5334 · EBIT M: 7446 · NOPAT M: 5584 · CapEx M: 5001 · NWC Delta M: 3334 · UFCF M: 7577 · Discount Period: 8.5 · Discount Factor: 0.506</w:t>
      </w:r>
    </w:p>
    <w:p>
      <w:r>
        <w:rPr/>
        <w:t>Projection FY35 (Year 10) — Revenue Growth: 0.025 · Revenue M: 113906 · EBITDA Margin: 0.115 · EBITDA M: 13101 · DA M: 5467 · EBIT M: 7633 · NOPAT M: 5725 · CapEx M: 5126 · NWC Delta M: 3417 · UFCF M: 7770 · Discount Period: 9.5 · Discount Factor: 0.467</w:t>
      </w:r>
    </w:p>
    <w:p>
      <w:r>
        <w:rPr/>
        <w:t>Sum PV of Explicit UFCFs — Sum PV UFCF M: 47315</w:t>
      </w:r>
    </w:p>
    <w:p>
      <w:r>
        <w:rPr/>
        <w:t>Terminal Value — Exit Multiple (8.0x) — Year10 EBITDA M: 13101 · Exit Multiple: 8 · TV Nominal M: 104806 · Discount Period: 9.5 · PV TV M: 48901</w:t>
      </w:r>
    </w:p>
    <w:p>
      <w:r>
        <w:rPr/>
        <w:t>Terminal Value — Perpetuity Growth (2.5%) — Year10 UFCF M: 7770 · Perp Growth Rate: 0.025 · FCF Year11 M: 7964 · WACC Minus G: 0.0585 · TV Nominal M: 136137 · Discount Period: 9.5 · PV TV M: 63533</w:t>
      </w:r>
    </w:p>
    <w:p>
      <w:r>
        <w:rPr/>
        <w:t>Equity Bridge — Exit Multiple Path — PV UFCFs M: 47315 · PV TV M: 48901 · Enterprise Value M: 96216 · Net Debt M: 14800 · Equity Value M: 81416 · Shares M: 246 · Implied Price USD: 331 · Current Price USD: 289 · Premium Discount Pct: 14.5</w:t>
      </w:r>
    </w:p>
    <w:p>
      <w:r>
        <w:rPr/>
        <w:t>Equity Bridge — Perpetuity Growth Path — PV UFCFs M: 47315 · PV TV M: 63533 · Enterprise Value M: 110848 · Net Debt M: 14800 · Equity Value M: 96048 · Shares M: 246 · Implied Price USD: 390 · Current Price USD: 289 · Premium Discount Pct: 34.9</w:t>
      </w:r>
    </w:p>
    <w:p>
      <w:r>
        <w:rPr/>
        <w:t>Sensitivity 1 — WACC vs Exit Multiple (Implied Share Price $) — WACC 7.85 X 7.0: 277 · WACC 7.85 X 7.5: 294 · WACC 7.85 X 8.0: 311 · WACC 7.85 X 8.5: 328 · WACC 7.85 X 9.0: 345 · WACC 8.10 X 7.0: 267 · WACC 8.10 X 7.5: 283 · WACC 8.10 X 8.0: 299 · WACC 8.10 X 8.5: 315 · WACC 8.10 X 9.0: 331 · WACC 8.35 X 7.0: 258 · WACC 8.35 X 7.5: 273</w:t>
      </w:r>
    </w:p>
    <w:p>
      <w:r>
        <w:rPr/>
        <w:t>Sensitivity 2 — WACC vs Perpetuity Growth (Implied Share Price $) — WACC 7.85 G 2.0: 346 · WACC 7.85 G 2.25: 366 · WACC 7.85 G 2.5: 390 · WACC 7.85 G 2.75: 418 · WACC 7.85 G 3.0: 452 · WACC 8.10 G 2.0: 323 · WACC 8.10 G 2.25: 340 · WACC 8.10 G 2.5: 360 · WACC 8.10 G 2.75: 383 · WACC 8.10 G 3.0: 411 · WACC 8.35 G 2.0: 303 · WACC 8.35 G 2.25: 318</w:t>
      </w:r>
    </w:p>
    <w:p>
      <w:r>
        <w:rPr/>
        <w:t>Sensitivity 3 — Near-term Revenue Growth vs EBITDA Margin (Implied EV $M, Exit Multiple Path) — Rev 2.0 Margin 11.0: 84100 · Rev 2.0 Margin 11.5: 87400 · Rev 2.0 Margin 12.0: 90700 · Rev 2.0 Margin 12.5: 94000 · Rev 2.0 Margin 13.0: 97300 · Rev 2.5 Margin 11.0: 86300 · Rev 2.5 Margin 11.5: 89700 · Rev 2.5 Margin 12.0: 93100 · Rev 2.5 Margin 12.5: 96500 · Rev 2.5 Margin 13.0: 99900 · Rev 3.0 Margin 11.0: 88500 · Rev 3.0 Margin 11.5: 92000</w:t>
      </w:r>
    </w:p>
    <w:p>
      <w:r>
        <w:rPr/>
        <w:t>Sources: uploaded:FDX-US Income Statement Annual.xlsx, uploaded:FDX-US Balance Sheet Annual.xlsx, uploaded:FDX-US Shares Outstanding.xlsx, uploaded:FDX-US Price History.xlsx, uploaded:FDX-US Company Identity.xlsx, uploaded:FDX-US Revenue Estimate.xlsx, uploaded:FDX-US Earnings Estimate.xlsx, uploaded:betas_by_industry_category_for_WACC.xlsx, uploaded:Equity_Risk_Premium_for_WACC.xlsx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FedEx (FDX) Standalone DCF Valuation — BankerToolBench btb-7f5b9960</dc:title>
  <dc:creator>NodeAgent</dc:creator>
</cp:coreProperties>
</file>