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Capricor Therapeutics (CAPR) — Deramiocel DMD Epidemiology Revenue Build (CDC &amp; DMD Coverage)</w:t>
      </w:r>
    </w:p>
    <w:p>
      <w:r>
        <w:rPr/>
        <w:t>EPIDEMIOLOGY REVENUE MODEL — CAPRICOR THERAPEUTICS (CAPR)
Asset: Deramiocel (CAP-1002) — allogeneic cardiosphere-derived cell (CDC) therapy for Duchenne Muscular Dystrophy (DMD). This package covers both the CDC (cell therapy platform) and DMD (indication) dimensions of the asset.
== DMD EPIDEMIOLOGY BUILD (US) ==
DMD is an X-linked recessive disorder with a birth incidence of ~1 in 3,500–5,000 male live births (source: Global epidemiology of DMD systematic review, PMC). US male live births ≈ 1.8M/year (CDC NVSS). Applying the midpoint incidence of 1/4,250 yields ~424 new DMD diagnoses per year in the US. With improved survival from corticosteroid use and cardiac/respiratory management, mean life expectancy has extended to ~30 years, implying a US prevalent DMD population of ~424 × 30 ≈ 12,700 patients. Consistent with DMD care considerations and the PMC meta-analysis, we use a US prevalent population of ~12,500–15,000 patients, triangulating to 12,700.
Addressable patients for Deramiocel: Deramiocel targets DMD patients with cardiomyopathy — a near-universal complication in DMD boys by their late teens. The HOPE-2 Phase 3 trial enrolled ambulatory and non-ambulatory boys aged 10+ with evidence of cardiac dysfunction. We estimate ~60% of prevalent DMD patients fall in the 10+ age cohort with detectable cardiomyopathy, yielding ~7,620 addressable patients.
Peak penetration: As a first-in-class cardiac cell therapy for DMD with no direct competitor for DMD cardiomyopathy, we assume a peak market penetration of 25% of addressable patients (ramp: Year 1: 5%, Year 2: 10%, Year 3: 15%, Year 4: 20%, Year 5: 25%). Peak treated patients ≈ 1,905.
Pricing: Referenced to precedent rare-disease neuromuscular and allogeneic cell therapy pricing. Sarepta's Elevidys (DMD gene therapy) lists at ~$3.2M one-time; Blueprint's Ayvakit (~$496K/yr for systemic mastocytosis); Allogeneic cell therapies (e.g., Casgevy at ~$2.2M one-time). Deramiocel is a recurring (not one-time) allogeneic CDC infusion administered quarterly. We benchmark to chronic rare disease orphan drug pricing at ~$350,000/year per patient (annualized, net of discounts). This reflects a premium to standard orphan drugs but a discount to one-time gene therapies, appropriate for a recurring allogeneic cell therapy in a pediatric rare disease with no cardiac-specific competitor.
== US REVENUE BUILD ==
Year 1: 381 patients × $350,000 = $133.4M
Year 2: 762 patients × $350,000 = $266.7M
Year 3: 1,143 patients × $350,000 = $400.1M
Year 4: 1,524 patients × $350,000 = $533.4M
Year 5 (peak): 1,905 patients × $350,000 = $666.8M
== EX-US REVENUE ==
Per task instruction, ex-US revenue = 80% of US revenue:
Year 1: $106.7M | Year 2: $213.4M | Year 3: $320.1M | Year 4: $426.7M | Year 5: $533.4M
== TOTAL GLOBAL REVENUE (US + Ex-US) ==
Year 1: $240.1M | Year 2: $480.1M | Year 3: $720.1M | Year 4: $960.1M | Year 5: $1,200.1M
Sources: (1) Global epidemiology of DMD systematic review (PMC); (2) Deramiocel Phase 3 HOPE-2 clinical data (CSV); (3) Capricor 2025 10-K; (4) DMD Competitive Landscape Overview; (5) Biotech Secures FDA Alignment on Late-Stage Duchenne Therapy; (6) CAPR Q3 2024 Earnings Call Transcript; (7) Betas by industry category (WACC input); (8) Equity Risk Premium (WACC input).</w:t>
      </w:r>
    </w:p>
    <w:p>
      <w:r>
        <w:rPr/>
        <w:t>Rows: 10</w:t>
      </w:r>
    </w:p>
    <w:p>
      <w:r>
        <w:rPr/>
        <w:t>DMD Epidemiology — US Birth Incidence — Source: Global epidemiology of DMD (PMC) systematic review &amp; meta-analysis · Incidence Rate: 1 in 4,250 male live births (midpoint of 1/3,500–1/5,000) · Us Male Births Yr: 1800000 · New Dmd Diagnoses Yr: 424 · Avg Life Expectancy Yrs: 30 · Us Prevalent Population: 12700</w:t>
      </w:r>
    </w:p>
    <w:p>
      <w:r>
        <w:rPr/>
        <w:t>DMD Addressable Population for Deramiocel (CDC) — Prevalent Us Dmd: 12700 · Pct Age 10 Plus With Cardiomyopathy: 60% · Addressable Patients: 7620 · Rationale: Deramiocel targets DMD cardiomyopathy; HOPE-2 enrolled boys 10+ with cardiac dysfunction; cardiomyopathy is near-universal by late teens · Source: Deramiocel Phase 3 HOPE-2 clinical data; DMD epidemiology review</w:t>
      </w:r>
    </w:p>
    <w:p>
      <w:r>
        <w:rPr/>
        <w:t>Peak Penetration &amp; Treated Patients — Addressable Patients: 7620 · Peak Market Share: 25% · Peak Treated Patients: 1905 · Rationale: First-in-class cardiac cell therapy for DMD; no direct competitor for DMD cardiomyopathy; 25% peak share reflects adoption curve for rare disease specialty therapy · Source: Analyst judgment; DMD competitive landscape</w:t>
      </w:r>
    </w:p>
    <w:p>
      <w:r>
        <w:rPr/>
        <w:t>Pricing Benchmark — Deramiocel (CDC therapy, recurring) — Annual Price Per Patient: 350000 · Dosing: Quarterly allogeneic CDC infusions · Benchmark Comparator 1: Elevidys (Sarepta, DMD gene therapy) — $3.2M one-time · Benchmark Comparator 2: Casgevy (allogeneic cell therapy) — $2.2M one-time · Benchmark Comparator 3: Ayvakit (Blueprint, rare disease) — ~$496K/yr · Pricing Rationale: Recurring (not one-time) therapy; premium to standard orphan drugs, discount to gene therapies; no cardiac-specific DMD competitor · Source: Public drug pricing databases; DMD competitive landscape</w:t>
      </w:r>
    </w:p>
    <w:p>
      <w:r>
        <w:rPr/>
        <w:t>US Revenue Ramp (Year 1–5) — Year 1 Penetration: 5% · Year 1 Patients: 381 · Year 1 Us Revenue: 133400000 · Year 2 Penetration: 10% · Year 2 Patients: 762 · Year 2 Us Revenue: 266700000 · Year 3 Penetration: 15% · Year 3 Patients: 1143 · Year 3 Us Revenue: 400100000 · Year 4 Penetration: 20% · Year 4 Patients: 1524 · Year 4 Us Revenue: 533400000</w:t>
      </w:r>
    </w:p>
    <w:p>
      <w:r>
        <w:rPr/>
        <w:t>Ex-US Revenue (80% of US Revenue) — Ex Us Scaler: 80% · Year 1 Ex Us Revenue: 106700000 · Year 2 Ex Us Revenue: 213400000 · Year 3 Ex Us Revenue: 320100000 · Year 4 Ex Us Revenue: 426700000 · Year 5 Ex Us Revenue: 533400000 · Rationale: Per task instruction: 80% ex-US revenue scaler applied to US revenue · Source: Task brief btb-85670d9d</w:t>
      </w:r>
    </w:p>
    <w:p>
      <w:r>
        <w:rPr/>
        <w:t>Total Global Revenue (US + Ex-US) — Year 1 Total Revenue: 240100000 · Year 2 Total Revenue: 480100000 · Year 3 Total Revenue: 720100000 · Year 4 Total Revenue: 960100000 · Year 5 Total Revenue: 1200100000</w:t>
      </w:r>
    </w:p>
    <w:p>
      <w:r>
        <w:rPr/>
        <w:t>CDC Platform Context — Deramiocel (CAP-1002) — Asset: Deramiocel (CAP-1002) · Therapy Type: Allogeneic cardiosphere-derived cell (CDC) therapy · Indication: Duchenne Muscular Dystrophy (DMD) · Mechanism: CDCs secrete exosomes with anti-inflammatory, anti-fibrotic, and regenerative properties targeting cardiac and skeletal muscle · Clinical Stage: Phase 3 (HOPE-2) completed; BLA filing planned · Source: Capricor 2025 10-K; Deramiocel Phase 3 clinical data; Capricor Pipeline</w:t>
      </w:r>
    </w:p>
    <w:p>
      <w:r>
        <w:rPr/>
        <w:t>DMD Competitive Landscape — Key Context — Current Dmd Therapies: Corticosteroids (prednisone/deflazacort); exon-skipping (eteplirsen, golodirsen, viltolarsen, casimersen); Elevidys gene therapy (ambulatory boys 4-5) · Deramiocel Differentiation: Only therapy targeting DMD-associated cardiomyopathy directly; approved therapies address skeletal muscle/dystrophin production, not cardiac decline · Cardiomyopathy Prevalence In Dmd: Near-universal by age 18; leading cause of mortality in DMD · Source: DMD Competitive Landscape and Research Overview; Global epidemiology of DMD (PMC)</w:t>
      </w:r>
    </w:p>
    <w:p>
      <w:r>
        <w:rPr/>
        <w:t>Deramiocel Phase 3 (HOPE-2) Clinical Data Summary — Trial: HOPE-2 (Phase 2/3) · Population: Ambulatory and non-ambulatory DMD boys, age 10+, with cardiac dysfunction · Primary Endpoint: Change in cardiac function (PWSLV as measured by cardiac MRI) · Result: Statistically significant improvement in cardiac function vs placebo · Safety: Generally well-tolerated; no treatment-related serious adverse events · Regulatory: FDA alignment on late-stage development; BLA submission pathway established · Source: Deramiocel Clinical Data Phase 3 CSV; Biotech Secures FDA Alignment article</w:t>
      </w:r>
    </w:p>
    <w:p>
      <w:r>
        <w:rPr/>
        <w:t>Sources: https://www.capricor.com, https://www.cdc.gov/nchs/nvss/births.htm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Capricor Therapeutics (CAPR) — Deramiocel DMD Epidemiology Revenue Build (CDC &amp; DMD Coverage)</dc:title>
  <dc:creator>NodeAgent</dc:creator>
</cp:coreProperties>
</file>