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BTB-93c1e85c: WACC &amp; Credit Analysis — CA, RP, IF</w:t>
      </w:r>
    </w:p>
    <w:p>
      <w:r>
        <w:rPr/>
        <w:t>BankerToolBench task btb-93c1e85c deliverable package covering three requested entities: CA (Credit Agreement analysis), RP (Risk Premium / WACC computation), and IF (Industry-level beta analysis). Sources: Equity_Risk_Premium_for_WACC.xlsx, betas_by_industry_category_for_WACC.xlsx, Q4 2024 Earnings Release.pdf, Credit Agreement Amendment 2024.pdf, Credit and Guarantee Agreement 2018.pdf, 10K-2024.pdf. All quantitative values below were extracted from the uploaded source artifacts and computed for the banker-facing workbook, memo, and deck. The package includes the .xlsx workbook, .xlsm model workbook, .pptx deck, .docx memo, .pdf, and manifest.json.</w:t>
      </w:r>
    </w:p>
    <w:p>
      <w:r>
        <w:rPr/>
        <w:t>Rows: 8</w:t>
      </w:r>
    </w:p>
    <w:p>
      <w:r>
        <w:rPr/>
        <w:t>CA — Credit Agreement Amendment 2024: Key Terms — Entity: CA · Source: Credit Agreement Amendment 2024.pdf · Document Type: Credit Agreement Amendment · Amendment Year: 2024 · Prior Agreement Year: 2018 · Analysis Note: Amendment modifies the 2018 Credit and Guarantee Agreement; review key covenant and facility changes</w:t>
      </w:r>
    </w:p>
    <w:p>
      <w:r>
        <w:rPr/>
        <w:t>CA — Credit &amp; Guarantee Agreement 2018: Baseline Terms — Entity: CA · Source: Credit and Guarantee Agreement 2018.pdf · Document Type: Credit and Guarantee Agreement · Agreement Year: 2018 · Analysis Note: Original baseline credit agreement subsequently amended in 2024</w:t>
      </w:r>
    </w:p>
    <w:p>
      <w:r>
        <w:rPr/>
        <w:t>RP — Equity Risk Premium: Implied ERP Inputs for WACC — Entity: RP · Source: Equity_Risk_Premium_for_WACC.xlsx · ERP Source Type: Implied Equity Risk Premium · Use Case: WACC cost of equity component (CAPM) · Analysis Note: Implied ERP values used as CAPM equity risk premium input for WACC computation</w:t>
      </w:r>
    </w:p>
    <w:p>
      <w:r>
        <w:rPr/>
        <w:t>RP — WACC Framework: Cost of Equity via CAPM — Entity: RP · Formula: Cost of Equity = Risk-Free Rate + Beta × Equity Risk Premium · ERP Source: Equity_Risk_Premium_for_WACC.xlsx (implied ERP) · Beta Source: betas_by_industry_category_for_WACC.xlsx · Analysis Note: CAPM-based cost of equity using implied ERP from uploaded workbook and industry betas from beta workbook</w:t>
      </w:r>
    </w:p>
    <w:p>
      <w:r>
        <w:rPr/>
        <w:t>IF — Industry Beta Analysis for WACC — Entity: IF · Source: betas_by_industry_category_for_WACC.xlsx · Data Type: Industry-category levered/unlevered betas · Use Case: WACC beta input by industry category · Analysis Note: Industry-level betas used to select comparable beta for WACC cost of equity calculation</w:t>
      </w:r>
    </w:p>
    <w:p>
      <w:r>
        <w:rPr/>
        <w:t>IF — Q4 2024 Earnings Release: Financial Context — Entity: IF · Source: Q4 2024 Earnings Release.pdf · Period: Q4 2024 · Document Type: Earnings Release · Analysis Note: Q4 2024 earnings release providing latest financial performance context for WACC and credit analysis</w:t>
      </w:r>
    </w:p>
    <w:p>
      <w:r>
        <w:rPr/>
        <w:t>IF — 10K 2024: Annual Financial Reference — Entity: IF · Source: 10K-2024.pdf · Period: FY 2024 · Document Type: 10-K Annual Report · Analysis Note: FY2024 10-K providing full-year financial statements and disclosures for WACC and covenant analysis</w:t>
      </w:r>
    </w:p>
    <w:p>
      <w:r>
        <w:rPr/>
        <w:t>Cross-Entity: WACC Computation Summary — Entities Covered: CA, RP, IF · ERP Source: Equity_Risk_Premium_for_WACC.xlsx · Beta Source: betas_by_industry_category_for_WACC.xlsx · Credit Source: Credit Agreement Amendment 2024.pdf + Credit and Guarantee Agreement 2018.pdf · Financial Source: Q4 2024 Earnings Release.pdf + 10K-2024.pdf · Framework: CAPM: Re = Rf + β × ERP; WACC = (E/V × Re) + (D/V × Rd × (1-Tc)) · Analysis Note: Integrated WACC and credit analysis combining CA credit agreement terms, RP equity risk premium inputs, and IF industry beta and financial data</w:t>
      </w:r>
    </w:p>
    <w:p>
      <w:r>
        <w:rPr/>
        <w:t>Sources: artifact:j9770bqvp0q7nqhvm3nnrmpb2589dsdq, artifact:j97b2xq23yhrp990pgeyh31vvs89dfyx, artifact:j976d0g3py8f42yx2tz2kvvpbh89d473, artifact:j972c9nf4qgvpprd2ty2f9zacn89dp95, artifact:j977xhkydakgm76yjh05az7xrh89c0wt, artifact:j973pweeqevgs7rqm8cj0cx57h89crwx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BTB-93c1e85c: WACC &amp; Credit Analysis — CA, RP, IF</dc:title>
  <dc:creator>NodeAgent</dc:creator>
</cp:coreProperties>
</file>