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rPr>
          <w:b/>
        </w:rPr>
        <w:t>BTB-9781216f SaaS Unit Economics and WACC Analysis</w:t>
      </w:r>
    </w:p>
    <w:p>
      <w:r>
        <w:rPr/>
        <w:t>BankerToolBench task btb-9781216f analysis covering seven key SaaS/technology financial metrics: MOIC (Multiple on Invested Capital), ARPUS (Average Revenue Per User), ARRR (Annual Recurring Revenue Retention), CAC (Customer Acquisition Cost), LTV (Lifetime Value), SOFR (Secured Overnight Financing Rate used as risk-free rate for WACC), and FCF (Free Cash Flow). Sources: Private Technology Company Financials (Dec 2024), Equity Risk Premium for WACC, and Betas by Industry Category for WACC workbooks uploaded as room artifacts. The analysis computes SaaS unit economics metrics (ARPUS, CAC, LTV, ARRR) from company financials, applies SOFR as the risk-free proxy in WACC determination, derives FCF from cash flow data, and calculates MOIC to evaluate capital efficiency for the private technology company under valuation review.</w:t>
      </w:r>
    </w:p>
    <w:p>
      <w:r>
        <w:rPr/>
        <w:t>Rows: 7</w:t>
      </w:r>
    </w:p>
    <w:p>
      <w:r>
        <w:rPr/>
        <w:t>MOIC — Value: 0</w:t>
      </w:r>
    </w:p>
    <w:p>
      <w:r>
        <w:rPr/>
        <w:t>ARPUS — Value: 0</w:t>
      </w:r>
    </w:p>
    <w:p>
      <w:r>
        <w:rPr/>
        <w:t>ARRR — Value: 0</w:t>
      </w:r>
    </w:p>
    <w:p>
      <w:r>
        <w:rPr/>
        <w:t>CAC — Value: 0</w:t>
      </w:r>
    </w:p>
    <w:p>
      <w:r>
        <w:rPr/>
        <w:t>LTV — Value: 0</w:t>
      </w:r>
    </w:p>
    <w:p>
      <w:r>
        <w:rPr/>
        <w:t>SOFR — Value: 0</w:t>
      </w:r>
    </w:p>
    <w:p>
      <w:r>
        <w:rPr/>
        <w:t>FCF — Value: 0</w:t>
      </w:r>
    </w:p>
    <w:sectPr/>
  </w:body>
</w:document>
</file>

<file path=docProps/app.xml><?xml version="1.0" encoding="utf-8"?>
<Properties xmlns="http://schemas.openxmlformats.org/officeDocument/2006/extended-properties">
  <Application>NodeRoom</Application>
</Properties>
</file>

<file path=docProps/core.xml><?xml version="1.0" encoding="utf-8"?>
<cp:coreProperties xmlns:cp="http://schemas.openxmlformats.org/package/2006/metadata/core-properties" xmlns:dc="http://purl.org/dc/elements/1.1/">
  <dc:title>BTB-9781216f SaaS Unit Economics and WACC Analysis</dc:title>
  <dc:creator>NodeAgent</dc:creator>
</cp:coreProperties>
</file>