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r>
        <w:rPr>
          <w:b/>
        </w:rPr>
        <w:t>Series C Participating Preferred Waterfall — Sponsor Exit Returns Analysis</w:t>
      </w:r>
    </w:p>
    <w:p>
      <w:r>
        <w:rPr/>
        <w:t>Sponsor exit waterfall model for Series C Participating Preferred investment ($100mm invested, 1.2x liquidation preference, 4% PIK dividends compounding annually over a 2-year hold from 01/31/2025). The cap table includes Series A common (40mm shares), Series B convertible preferred ($120mm invested, 10mm shares, 1.0x liq pref), and Series C participating preferred ($100mm invested, 10mm shares, 1.2x liq pref). PIK accrual: Year 1 = $4.00mm, Year 2 = $4.16mm, total accrued = $8.16mm, creating 0.816mm additional Series C PIK shares at 1.0x liq pref. Fully diluted shares = 60.816mm. Series B converts to common when its pro-rata share exceeds $120mm; at all exit scenarios from $750mm to $1,350mm, Series B converts. Waterfall order: (1) Series B payout = MAX(1.0x x $120mm, Series B FD% x exit equity); (2) Series C liquidation preference = $128.16mm ($120mm original + $8.16mm PIK); (3) remaining equity split pro-rata between Series A (78.7138%) and Series C + PIK (21.2862%). Sponsor (Series C) returns computed across seven exit scenarios from $750mm to $1,350mm in $100mm increments. Base case ($750mm): MoM 2.34x, IRR 53.1%.</w:t>
      </w:r>
    </w:p>
    <w:p>
      <w:r>
        <w:rPr/>
        <w:t>Rows: 9</w:t>
      </w:r>
    </w:p>
    <w:p>
      <w:r>
        <w:rPr/>
        <w:t>Sponsor Series C — $750mm Exit — Exit Equity Value Mm: 750 · Series B Payout Mm: 123.33 · Series C Liq Pref Mm: 128.16 · Remaining Equity Pool Mm: 498.51 · Series C Participation Mm: 106.11 · Series C Total Payout Mm: 234.27 · Sponsor MoM: 2.34 · Sponsor IRR Pct: 53.06</w:t>
      </w:r>
    </w:p>
    <w:p>
      <w:r>
        <w:rPr/>
        <w:t>Sponsor Series C — $850mm Exit — Exit Equity Value Mm: 850 · Series B Payout Mm: 139.77 · Series C Liq Pref Mm: 128.16 · Remaining Equity Pool Mm: 582.07 · Series C Participation Mm: 123.9 · Series C Total Payout Mm: 252.06 · Sponsor MoM: 2.52 · Sponsor IRR Pct: 58.76</w:t>
      </w:r>
    </w:p>
    <w:p>
      <w:r>
        <w:rPr/>
        <w:t>Sponsor Series C — $950mm Exit — Exit Equity Value Mm: 950 · Series B Payout Mm: 156.21 · Series C Liq Pref Mm: 128.16 · Remaining Equity Pool Mm: 665.63 · Series C Participation Mm: 141.7 · Series C Total Payout Mm: 269.86 · Sponsor MoM: 2.7 · Sponsor IRR Pct: 64.28</w:t>
      </w:r>
    </w:p>
    <w:p>
      <w:r>
        <w:rPr/>
        <w:t>Sponsor Series C — $1,050mm Exit — Exit Equity Value Mm: 1050 · Series B Payout Mm: 172.66 · Series C Liq Pref Mm: 128.16 · Remaining Equity Pool Mm: 749.18 · Series C Participation Mm: 159.49 · Series C Total Payout Mm: 287.65 · Sponsor MoM: 2.88 · Sponsor IRR Pct: 69.6</w:t>
      </w:r>
    </w:p>
    <w:p>
      <w:r>
        <w:rPr/>
        <w:t>Sponsor Series C — $1,150mm Exit — Exit Equity Value Mm: 1150 · Series B Payout Mm: 189.1 · Series C Liq Pref Mm: 128.16 · Remaining Equity Pool Mm: 832.74 · Series C Participation Mm: 177.29 · Series C Total Payout Mm: 305.45 · Sponsor MoM: 3.05 · Sponsor IRR Pct: 74.77</w:t>
      </w:r>
    </w:p>
    <w:p>
      <w:r>
        <w:rPr/>
        <w:t>Sponsor Series C — $1,250mm Exit — Exit Equity Value Mm: 1250 · Series B Payout Mm: 205.54 · Series C Liq Pref Mm: 128.16 · Remaining Equity Pool Mm: 916.3 · Series C Participation Mm: 195.08 · Series C Total Payout Mm: 323.24 · Sponsor MoM: 3.23 · Sponsor IRR Pct: 79.8</w:t>
      </w:r>
    </w:p>
    <w:p>
      <w:r>
        <w:rPr/>
        <w:t>Sponsor Series C — $1,350mm Exit — Exit Equity Value Mm: 1350 · Series B Payout Mm: 221.99 · Series C Liq Pref Mm: 128.16 · Remaining Equity Pool Mm: 999.85 · Series C Participation Mm: 212.83 · Series C Total Payout Mm: 340.99 · Sponsor MoM: 3.41 · Sponsor IRR Pct: 84.66</w:t>
      </w:r>
    </w:p>
    <w:p>
      <w:r>
        <w:rPr/>
        <w:t>Cap Table Summary — Series A Shares Mm: 40 · Series B Shares Mm: 10 · Series C Shares Mm: 10 · Series C PIK Shares Mm: 0.816 · Fully Diluted Shares Mm: 60.816 · Series B Invested Mm: 120 · Series C Invested Mm: 100 · Series C PIK Accrued Mm: 8.16 · Series C Total Liq Pref Mm: 128.16 · Series B Liq Pref Mm: 120 · Series B FD Pct: 16.4434 · Series C Participation Pct: 21.2862</w:t>
      </w:r>
    </w:p>
    <w:p>
      <w:r>
        <w:rPr/>
        <w:t>Base Case Summary ($750mm Exit) — Exit Equity Value Mm: 750 · Sponsor Invested Mm: 100 · Sponsor Total Payout Mm: 234.27 · Sponsor MoM: 2.34 · Sponsor IRR Pct: 53.06 · Hold Period Years: 2 · Transaction Date: 01/31/2025</w:t>
      </w:r>
    </w:p>
    <w:p>
      <w:r>
        <w:rPr/>
        <w:t>Sources: room://j97ds3wj9kbjptpv5h83tgbxvd89da1d, room://j974g6m88hw5vd1ts987pnnsyh89ckrk, room://j970jw0edbcvx2e518hk3ya5cx89d7rw</w:t>
      </w:r>
    </w:p>
    <w:sectPr/>
  </w:body>
</w:document>
</file>

<file path=docProps/app.xml><?xml version="1.0" encoding="utf-8"?>
<Properties xmlns="http://schemas.openxmlformats.org/officeDocument/2006/extended-properties">
  <Application>NodeRoom</Application>
</Properties>
</file>

<file path=docProps/core.xml><?xml version="1.0" encoding="utf-8"?>
<cp:coreProperties xmlns:cp="http://schemas.openxmlformats.org/package/2006/metadata/core-properties" xmlns:dc="http://purl.org/dc/elements/1.1/">
  <dc:title>Series C Participating Preferred Waterfall — Sponsor Exit Returns Analysis</dc:title>
  <dc:creator>NodeAgent</dc:creator>
</cp:coreProperties>
</file>