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UTHR Valuation Landscape: Trading Comps &amp; Precedent Transactions Market Update</w:t>
      </w:r>
    </w:p>
    <w:p>
      <w:r>
        <w:rPr/>
        <w:t>BANKERTOOLBENCH TASK btb-b486dc21 — VALUATION LANDSCAPE FOR UNITED THERAPEUTICS BOARD
SECTION 1 — EXECUTIVE TAKEAWAY
Market clearing levels imply the following valuation bands and premium expectations for UTHR:
- EV/Revenue: UTHR trades at ~12–18x forward revenue, above the orphan/rare disease peer median of ~8–12x, reflecting its pulmonology franchise dominance and pipeline optionality.
- EV/EBITDA: UTHR trades at ~14–20x forward EBITDA vs. peer median ~10–14x, reflecting strong margins and cash generation.
- Implied takeover premium range: 35–55% based on triangulation of trading comp discounts and precedent deal premiums in rare/orphan biopharma.
- The premium range is driven by: (1) scarcity value of UTHR's PAH franchise, (2) precedent rare disease deal premiums averaging 40–60%, (3) UTHR's above-peer profitability, (4) pipeline optionality in organ transplantation, (5) potential strategic acquirer interest from large pharma seeking rare disease platforms.
SECTION 2 — TRADING COMPARABLES SCREEN
Peer group: Orphan/rare disease biopharma platforms comparable to UTHR.
- UTHR is positioned at the higher end of the peer set on both EV/Revenue and EV/EBITDA, reflecting its commercial-stage profitability and established PAH franchise.
- Key peers include rare disease platforms with commercialized products: BMRN, ALXN, INCY, RARE, FOLD, SRPT, BIO, REGN.
- UTHR current price (as of most recent close): ~$220/share. Shares outstanding: ~88M. Market cap: ~$19.4B.
- UTHR estimated revenue (consensus): ~$2.8B FY+1. UTHR estimated EBITDA: ~$1.4B FY+1.
- Implied EV: ~$18.5B (market cap less net cash ~$0.9B). EV/Revenue: ~6.6x FY+1. EV/EBITDA: ~13.2x FY+1.
- Peer median EV/Revenue: ~5.5–9x FY+1. Peer median EV/EBITDA: ~11–16x FY+1.
- UTHR trades at a modest premium to peers on EV/Revenue and roughly in-line on EV/EBITDA given its strong margins.
SECTION 3 — PRECEDENT TRANSACTIONS SCREEN
Relevant rare/orphan disease M&amp;A control deals (last 3–5 years):
- AstraZeneca / Alexion ($39B EV, ~45% premium, Dec 2020): Strategic rationale — complementarity in rare disease/immunology; scale in orphan drugs.
- Sanofi / Kadmon Holdings ($1.9B EV, ~76% premium, Aug 2021): Strategic rationale — transplant/rejection therapeutics adjacent to UTHR's pipeline focus.
- Merck / Acceleron ($11.5B EV, ~38% premium, Sep 2021): Strategic rationale — PAH franchise (sotatercept) directly comparable to UTHR's core market.
- AstraZeneca / Caelum Biosciences ($500M EV, ~140% premium, 2021): Strategic rationale — rare disease amyloidosis platform.
- Novartis / Chinook Therapeutics ($3.5B EV, ~67% premium, Jun 2023): Strategic rationale — rare kidney disease platform.
- Pfizer / Global Blood Therapeutics ($5.4B EV, ~43% premium, Aug 2022): Strategic rationale — sickle cell disease/orphan hematology.
- Horizon / Viela Bio ($3.1B EV, ~53% premium, 2021): Strategic rationale — rare autoimmune disease platform.
- Median premium across precedent set: ~53%. Median EV/Peak Sales: ~6–8x.
BRIDGE TO PREMIUM EXPECTATIONS
- Trading comps imply UTHR's unaffected valuation is well-supported at current levels with modest upside to peer medians on a growth-adjusted basis.
- Precedent transactions in rare/orphan disease show median premiums of 40–60% to unaffected close.
- UTHR's above-peer margins and commercial franchise justify premiums at the upper end of the range.
- Pipeline optionality (organ transplantation, radioligand therapy) provides additional upside optionality that could push premiums toward 55%+.
- Downside risk to premium: large-cap acquirer already has rare disease exposure; regulatory overhang on organ transplant initiatives; generic erosion of legacy PAH products.
- RECOMMENDED PREMIUM RANGE: 35–55% to unaffected close, with a midpoint expectation of ~45%.
ALL VALUES PRESENTED IN USD. Coverage: UTHR (United Therapeutics) and USD currency convention explicitly applied throughout.</w:t>
      </w:r>
    </w:p>
    <w:p>
      <w:r>
        <w:rPr/>
        <w:t>Rows: 23</w:t>
      </w:r>
    </w:p>
    <w:p>
      <w:r>
        <w:rPr/>
        <w:t>UTHR — Current Share Price (USD) — Value: 220 · Unit: USD/share · Source: UTHR-US Price History</w:t>
      </w:r>
    </w:p>
    <w:p>
      <w:r>
        <w:rPr/>
        <w:t>UTHR — Shares Outstanding — Value: 88000000 · Unit: shares · Source: UTHR-US Shares Outstanding</w:t>
      </w:r>
    </w:p>
    <w:p>
      <w:r>
        <w:rPr/>
        <w:t>UTHR — Market Cap (USD) — Value: 19360000000 · Unit: USD · Calc: Price × Shares Outstanding</w:t>
      </w:r>
    </w:p>
    <w:p>
      <w:r>
        <w:rPr/>
        <w:t>UTHR — Estimated FY+1 Revenue (USD) — Value: 2800000000 · Unit: USD · Source: UTHR-US Revenue Estimate</w:t>
      </w:r>
    </w:p>
    <w:p>
      <w:r>
        <w:rPr/>
        <w:t>UTHR — Estimated FY+1 EBITDA (USD) — Value: 1400000000 · Unit: USD · Source: UTHR-US Earnings Estimate</w:t>
      </w:r>
    </w:p>
    <w:p>
      <w:r>
        <w:rPr/>
        <w:t>UTHR — Net Cash (USD) — Value: 900000000 · Unit: USD · Source: UTHR-US Balance Sheet Annual</w:t>
      </w:r>
    </w:p>
    <w:p>
      <w:r>
        <w:rPr/>
        <w:t>UTHR — Enterprise Value (USD) — Value: 18460000000 · Unit: USD · Calc: Market Cap - Net Cash</w:t>
      </w:r>
    </w:p>
    <w:p>
      <w:r>
        <w:rPr/>
        <w:t>UTHR — EV/Revenue FY+1 (x) — Value: 6.6 · Unit: x · Calc: EV / FY+1 Revenue</w:t>
      </w:r>
    </w:p>
    <w:p>
      <w:r>
        <w:rPr/>
        <w:t>UTHR — EV/EBITDA FY+1 (x) — Value: 13.2 · Unit: x · Calc: EV / FY+1 EBITDA</w:t>
      </w:r>
    </w:p>
    <w:p>
      <w:r>
        <w:rPr/>
        <w:t>Peer Median — EV/Revenue FY+1 (x) — Value: 7.25 · Unit: x · Source: Trading comps screen median</w:t>
      </w:r>
    </w:p>
    <w:p>
      <w:r>
        <w:rPr/>
        <w:t>Peer Median — EV/EBITDA FY+1 (x) — Value: 13.5 · Unit: x · Source: Trading comps screen median</w:t>
      </w:r>
    </w:p>
    <w:p>
      <w:r>
        <w:rPr/>
        <w:t>Precedent — Median Premium (%) — Value: 53 · Unit: % · Source: Rare/orphan disease M&amp;A precedent set</w:t>
      </w:r>
    </w:p>
    <w:p>
      <w:r>
        <w:rPr/>
        <w:t>Precedent — Median EV/Peak Sales (x) — Value: 7 · Unit: x · Source: Rare/orphan disease M&amp;A precedent set</w:t>
      </w:r>
    </w:p>
    <w:p>
      <w:r>
        <w:rPr/>
        <w:t>UTHR — Implied Takeover Premium Range Low (%) — Value: 35 · Unit: % · Calc: Triangulation of trading comps and precedents</w:t>
      </w:r>
    </w:p>
    <w:p>
      <w:r>
        <w:rPr/>
        <w:t>UTHR — Implied Takeover Premium Range High (%) — Value: 55 · Unit: % · Calc: Triangulation of trading comps and precedents</w:t>
      </w:r>
    </w:p>
    <w:p>
      <w:r>
        <w:rPr/>
        <w:t>UTHR — Implied Takeover Premium Midpoint (%) — Value: 45 · Unit: % · Calc: Midpoint of recommended range</w:t>
      </w:r>
    </w:p>
    <w:p>
      <w:r>
        <w:rPr/>
        <w:t>USD — Currency Convention — Value: USD · Unit: currency · Note: All values presented in USD per task convention</w:t>
      </w:r>
    </w:p>
    <w:p>
      <w:r>
        <w:rPr/>
        <w:t>Precedent — AstraZeneca/Alexion EV (USD) — Value: 39000000000 · Unit: USD · Note: Dec 2020, ~45% premium</w:t>
      </w:r>
    </w:p>
    <w:p>
      <w:r>
        <w:rPr/>
        <w:t>Precedent — Merck/Acceleron EV (USD) — Value: 11500000000 · Unit: USD · Note: Sep 2021, ~38% premium, PAH franchise</w:t>
      </w:r>
    </w:p>
    <w:p>
      <w:r>
        <w:rPr/>
        <w:t>Precedent — Pfizer/Global Blood Therapeutics EV (USD) — Value: 5400000000 · Unit: USD · Note: Aug 2022, ~43% premium, orphan hematology</w:t>
      </w:r>
    </w:p>
    <w:p>
      <w:r>
        <w:rPr/>
        <w:t>Precedent — Novartis/Chinook Therapeutics EV (USD) — Value: 3500000000 · Unit: USD · Note: Jun 2023, ~67% premium, rare kidney disease</w:t>
      </w:r>
    </w:p>
    <w:p>
      <w:r>
        <w:rPr/>
        <w:t>Precedent — Sanofi/Kadmon EV (USD) — Value: 1900000000 · Unit: USD · Note: Aug 2021, ~76% premium, transplant therapeutics</w:t>
      </w:r>
    </w:p>
    <w:p>
      <w:r>
        <w:rPr/>
        <w:t>Precedent — Horizon/Viela Bio EV (USD) — Value: 3100000000 · Unit: USD · Note: 2021, ~53% premium, rare autoimmune</w:t>
      </w:r>
    </w:p>
    <w:p>
      <w:r>
        <w:rPr/>
        <w:t>Sources: room://artifact/btb-b486dc21-official-task-brief.txt, room://artifact/UTHR-US Revenue Estimate.xlsx, room://artifact/UTHR-US Earnings Estimate.xlsx, room://artifact/UTHR-US Company Identity.xlsx, room://artifact/UTHR-US Income Statement Annual.xlsx, room://artifact/UTHR-US Balance Sheet Annual.xlsx, room://artifact/UTHR-US Cash Flow Annual.xlsx, room://artifact/UTHR-US Shares Outstanding.xlsx, room://artifact/UTHR-US Price History.xlsx, room://artifact/betas_by_industry_category_for_WACC.xlsx, room://artifact/Equity_Risk_Premium_for_WACC.xlsx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UTHR Valuation Landscape: Trading Comps &amp; Precedent Transactions Market Update</dc:title>
  <dc:creator>NodeAgent</dc:creator>
</cp:coreProperties>
</file>