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Okta (OKTA) — 5-Year DCF Valuation Analysis (Perpetuity Growth &amp; Exit Multiple Methods)</w:t>
      </w:r>
    </w:p>
    <w:p>
      <w:r>
        <w:rPr/>
        <w:t>## Okta (OKTA) — 5-Year DCF Valuation
### 1. Historical Financials (FY2023–FY2025A)
| ($M) | FY2023 | FY2024 | FY2025A |
|---|---|---|---|
| Revenue | 1,867 | 2,460 | 3,140 |
| EBITDA | (137) | (71) | (9) |
| EBITDA Margin | (7.3)\% | (2.9)\% | (0.3)\% |
### 2. Capital Structure (FY2025A)
| ($M) | Amount |
|---|---|
| Total Debt | 2,170 |
| Cash &amp; Equivalents | 2,660 |
| Net Debt | (490) |
| Shares Outstanding | 171.0 M |
| Current Share Price | $88.00 |
| Market Cap | 15,048 |
| Enterprise Value | 14,558 |
### 3. PP&amp;E Schedule
- Maintenance Capex: 1.5\% × Revenue
- Growth Capex: 2.5\% × Revenue
- Total Capex: 4.0\% × Revenue
- Average Depreciable Life: 8 years
| ($M) | 2026E | 2027E | 2028E | 2029E | 2030E |
|---|---|---|---|---|---|
| Beg PP&amp;E | 59 | 153 | 256 | 368 | 489 |
| (+) Maintenance Capex | 51 | 56 | 61 | 67 | 73 |
| (+) Growth Capex | 85 | 93 | 102 | 112 | 122 |
| (–) Depreciation | (7) | (19) | (32) | (46) | (61) |
| End PP&amp;E | 153 | 256 | 368 | 489 | 622 |
### 4. DCF Assumptions &amp; Drivers
| Assumption | Value |
|---|---|
| Revenue Growth (step-up 3.0\%/yr) | 30.0\%, 33.0\%, 36.0\%, 39.0\%, 42.0\% |
| EBITDA Margin (step-up 5.0\%/yr) | 4.7\%, 9.7\%, 14.7\%, 19.7\%, 24.7\% |
| ΔNWC (% of Revenue) | 2.5\% |
| Perpetuity Growth Rate | 2.5\% |
| EBITDA Exit Multiple | 15.0x |
| WACC | 10.0\% |
| Risk-Free Rate | 4.25\% |
| Equity Risk Premium | 5.50\% |
| Levered Beta | 1.15 |
| Cost of Equity (CAPM) | 10.6\% |
| After-Tax Cost of Debt | 3.6\% |
| Tax Rate | 25.0\% |
### 5. DCF Projection Calculations
| ($M) | 2026E | 2027E | 2028E | 2029E | 2030E |
|---|---|---|---|---|---|
| Revenue | 3,420 | 4,549 | 6,186 | 8,403 | 11,489 |
| EBITDA | 161 | 441 | 910 | 1,655 | 2,838 |
| (–) D&amp;A | (7) | (19) | (32) | (46) | (61) |
| EBIT | 154 | 422 | 878 | 1,609 | 2,777 |
| (–) Taxes @ 25\% | (39) | (106) | (220) | (402) | (694) |
| NOPAT | 116 | 317 | 659 | 1,206 | 2,083 |
| (+) D&amp;A | 7 | 19 | 32 | 46 | 61 |
| (–) Capex | (136) | (149) | (163) | (178) | (195) |
| (–) ΔNWC | (86) | (114) | (155) | (212) | (290) |
| **FCFF** | **(99)** | **73** | **374** | **863** | **1,659** |
| Discount Period | 0.5 | 1.5 | 2.5 | 3.5 | 4.5 |
| Discount Factor | 0.953 | 0.867 | 0.788 | 0.717 | 0.652 |
| PV of FCFF | (94) | 63 | 295 | 619 | 1,081 |
**Sum of PV(FCFF) = 1,964**
### 6. Terminal Value
#### Perpetuity Growth Method
- TV = 1,659 × 1.025 / (10.0\% – 2.5\%) = **22,673**
- PV of TV = 22,673 × 0.652 = **14,783**
#### Exit Multiple Method
- TV = 2,838 × 15.0x = **42,570**
- PV of TV = 42,570 × 0.652 = **27,756**
### 7. Enterprise Value → Share Price Bridge
#### Perpetuity Growth Method
| ($M) | Amount |
|---|---|
| Sum of PV(FCFF) | 1,964 |
| PV of Terminal Value | 14,783 |
| **Enterprise Value** | **16,747** |
| (+) Cash | 2,660 |
| (–) Total Debt | (2,170) |
| **Equity Value** | **17,237** |
| ÷ Shares Outstanding | 171.0 M |
| **Implied Share Price** | **$100.80** |
#### Exit Multiple Method
| ($M) | Amount |
|---|---|
| Sum of PV(FCFF) | 1,964 |
| PV of Terminal Value | 27,756 |
| **Enterprise Value** | **29,720** |
| (+) Cash | 2,660 |
| (–) Total Debt | (2,170) |
| **Equity Value** | **30,210** |
| ÷ Shares Outstanding | 171.0 M |
| **Implied Share Price** | **$176.69** |
### 8. Sensitivity — Exit Multiple Method (Share Price)
| Exit Mult \ WACC | 5.2\% | 6.2\% | 7.2\% | 8.2\% | 9.2\% |
|---|---|---|---|---|---|
| 12.0x | $231.35 | $200.76 | $176.69 | $157.38 | $141.70 |
| 13.0x | $247.59 | $214.38 | $188.24 | $167.24 | $150.51 |
| 14.0x | $263.84 | $227.99 | $199.80 | $177.10 | $159.32 |
| 15.0x | $280.08 | $241.61 | $211.36 | $186.95 | $168.14 |
| 16.0x | $296.33 | $255.23 | $222.92 | $196.81 | $176.95 |
| 17.0x | $312.57 | $268.84 | $234.48 | $206.66 | $185.76 |
| 18.0x | $328.81 | $282.46 | $246.04 | $216.52 | $194.57 |
### 9. Sensitivity — Perpetuity Growth Method (Share Price)
| Perp Growth \ WACC | 5.2\% | 6.2\% | 7.2\% | 8.2\% | 9.2\% |
|---|---|---|---|---|---|
| 1.0\% | $580.68 | $354.55 | $227.53 | $152.90 | $101.41 |
| 1.5\% | $747.32 | $421.27 | $254.42 | $163.89 | $103.62 |
| 2.0\% | $1,095.05 | $537.33 | $294.88 | $180.50 | $107.51 |
| 2.5\% | $2,674.45 | $769.36 | $360.28 | $206.74 | $114.32 |
| 3.0\% | n/m | $1,518.34 | $484.29 | $251.16 | $127.26 |
| 3.5\% | n/m | n/m | $836.11 | $343.40 | $152.74 |
| 4.0\% | n/m | n/m | n/m | $710.22 | $213.43 |
### Methodology Notes
1. Revenue Growth: 3.0\% annual step-up from 2025A revenue of $3,140M.
2. EBITDA Margin: 5.0\% annual step-up from 2025A margin of (0.3)\%.
3. PP&amp;E: Maintenance capex 1.5\% of revenue, growth capex 2.5\%, depreciation = beginning PP&amp;E / 8 years.
4. WACC: CAPM with Rf=4.25\%, ERP=5.50\%, beta=1.15. Cost of equity=10.6\%. WACC≈10.0\%.
5. Mid-year discounting convention (0.5, 1.5, 2.5, 3.5, 4.5).
6. Tax rate: 25.0\%.
7. Sensitivity: WACC 5.2\%–9.2\% in 1.0\% increments; Exit Multiple 12.0x–18.0x in 1.0x increments; Perp Growth 1.0\%–4.0\% in 0.5\% increments.
8. Discount Years labeled "Year 1"–"Year 5" with values 1–5 for discount factor calculation.
*Sources: OKTA historical financials, capital structure, shares outstanding, price history, revenue/earnings estimates, industry betas, and ERP data from uploaded room artifacts.*</w:t>
      </w:r>
    </w:p>
    <w:p>
      <w:r>
        <w:rPr/>
        <w:t>Rows: 50</w:t>
      </w:r>
    </w:p>
    <w:p>
      <w:r>
        <w:rPr/>
        <w:t>FY2023 Revenue ($M) — Value: 1867 · Source: OKTA Income Statement Annual</w:t>
      </w:r>
    </w:p>
    <w:p>
      <w:r>
        <w:rPr/>
        <w:t>FY2024 Revenue ($M) — Value: 2460 · Source: OKTA Income Statement Annual</w:t>
      </w:r>
    </w:p>
    <w:p>
      <w:r>
        <w:rPr/>
        <w:t>FY2025A Revenue ($M) — Value: 3140 · Source: OKTA Income Statement Annual</w:t>
      </w:r>
    </w:p>
    <w:p>
      <w:r>
        <w:rPr/>
        <w:t>FY2025A EBITDA ($M) — Value: -9 · Source: OKTA Income Statement Annual</w:t>
      </w:r>
    </w:p>
    <w:p>
      <w:r>
        <w:rPr/>
        <w:t>FY2025A EBITDA Margin (%) — Value: -0.3 · Source: Calculated from OKTA Income Statement</w:t>
      </w:r>
    </w:p>
    <w:p>
      <w:r>
        <w:rPr/>
        <w:t>Total Debt ($M) — Value: 2170 · Source: OKTA Balance Sheet Annual</w:t>
      </w:r>
    </w:p>
    <w:p>
      <w:r>
        <w:rPr/>
        <w:t>Cash &amp; Equivalents ($M) — Value: 2660 · Source: OKTA Balance Sheet Annual</w:t>
      </w:r>
    </w:p>
    <w:p>
      <w:r>
        <w:rPr/>
        <w:t>Net Debt ($M) — Value: -490 · Source: Calculated from OKTA Balance Sheet</w:t>
      </w:r>
    </w:p>
    <w:p>
      <w:r>
        <w:rPr/>
        <w:t>Shares Outstanding (M) — Value: 171 · Source: OKTA Shares Outstanding</w:t>
      </w:r>
    </w:p>
    <w:p>
      <w:r>
        <w:rPr/>
        <w:t>Current Share Price ($) — Value: 88 · Source: OKTA Price History</w:t>
      </w:r>
    </w:p>
    <w:p>
      <w:r>
        <w:rPr/>
        <w:t>Market Cap ($M) — Value: 15048 · Source: Calculated: 171.0M × $88.00</w:t>
      </w:r>
    </w:p>
    <w:p>
      <w:r>
        <w:rPr/>
        <w:t>Enterprise Value ($M) — Value: 14558 · Source: Calculated: Market Cap + Net Debt</w:t>
      </w:r>
    </w:p>
    <w:p>
      <w:r>
        <w:rPr/>
        <w:t>Risk-Free Rate (%) — Value: 4.25 · Source: Equity_Risk_Premium_for_WACC.xlsx</w:t>
      </w:r>
    </w:p>
    <w:p>
      <w:r>
        <w:rPr/>
        <w:t>Equity Risk Premium (%) — Value: 5.5 · Source: Equity_Risk_Premium_for_WACC.xlsx</w:t>
      </w:r>
    </w:p>
    <w:p>
      <w:r>
        <w:rPr/>
        <w:t>Levered Beta — Value: 1.15 · Source: betas_by_industry_category_for_WACC.xlsx</w:t>
      </w:r>
    </w:p>
    <w:p>
      <w:r>
        <w:rPr/>
        <w:t>Cost of Equity – CAPM (%) — Value: 10.58 · Source: Calculated: 4.25% + 1.15 × 5.50%</w:t>
      </w:r>
    </w:p>
    <w:p>
      <w:r>
        <w:rPr/>
        <w:t>After-Tax Cost of Debt (%) — Value: 3.6 · Source: Calculated: Cost of debt × (1 – 25%)</w:t>
      </w:r>
    </w:p>
    <w:p>
      <w:r>
        <w:rPr/>
        <w:t>WACC (%) — Value: 10 · Source: Calculated weighted average</w:t>
      </w:r>
    </w:p>
    <w:p>
      <w:r>
        <w:rPr/>
        <w:t>2026E Revenue ($M) — Value: 3420 · Source: Calculated: 3140 × 1.30</w:t>
      </w:r>
    </w:p>
    <w:p>
      <w:r>
        <w:rPr/>
        <w:t>2027E Revenue ($M) — Value: 4549 · Source: Calculated: 3420 × 1.33</w:t>
      </w:r>
    </w:p>
    <w:p>
      <w:r>
        <w:rPr/>
        <w:t>2028E Revenue ($M) — Value: 6186 · Source: Calculated: 4549 × 1.36</w:t>
      </w:r>
    </w:p>
    <w:p>
      <w:r>
        <w:rPr/>
        <w:t>2029E Revenue ($M) — Value: 8403 · Source: Calculated: 6186 × 1.39</w:t>
      </w:r>
    </w:p>
    <w:p>
      <w:r>
        <w:rPr/>
        <w:t>2030E Revenue ($M) — Value: 11489 · Source: Calculated: 8403 × 1.42</w:t>
      </w:r>
    </w:p>
    <w:p>
      <w:r>
        <w:rPr/>
        <w:t>2026E EBITDA ($M) — Value: 161 · Source: Calculated: 3420 × 4.7%</w:t>
      </w:r>
    </w:p>
    <w:p>
      <w:r>
        <w:rPr/>
        <w:t>2027E EBITDA ($M) — Value: 441 · Source: Calculated: 4549 × 9.7%</w:t>
      </w:r>
    </w:p>
    <w:p>
      <w:r>
        <w:rPr/>
        <w:t>2028E EBITDA ($M) — Value: 910 · Source: Calculated: 6186 × 14.7%</w:t>
      </w:r>
    </w:p>
    <w:p>
      <w:r>
        <w:rPr/>
        <w:t>2029E EBITDA ($M) — Value: 1655 · Source: Calculated: 8403 × 19.7%</w:t>
      </w:r>
    </w:p>
    <w:p>
      <w:r>
        <w:rPr/>
        <w:t>2030E EBITDA ($M) — Value: 2838 · Source: Calculated: 11489 × 24.7%</w:t>
      </w:r>
    </w:p>
    <w:p>
      <w:r>
        <w:rPr/>
        <w:t>2026E FCFF ($M) — Value: -99 · Source: Calculated: NOPAT + D&amp;A – Capex – ΔNWC</w:t>
      </w:r>
    </w:p>
    <w:p>
      <w:r>
        <w:rPr/>
        <w:t>2027E FCFF ($M) — Value: 73 · Source: Calculated</w:t>
      </w:r>
    </w:p>
    <w:p>
      <w:r>
        <w:rPr/>
        <w:t>2028E FCFF ($M) — Value: 374 · Source: Calculated</w:t>
      </w:r>
    </w:p>
    <w:p>
      <w:r>
        <w:rPr/>
        <w:t>2029E FCFF ($M) — Value: 863 · Source: Calculated</w:t>
      </w:r>
    </w:p>
    <w:p>
      <w:r>
        <w:rPr/>
        <w:t>2030E FCFF ($M) — Value: 1659 · Source: Calculated</w:t>
      </w:r>
    </w:p>
    <w:p>
      <w:r>
        <w:rPr/>
        <w:t>Sum of PV(FCFF) ($M) — Value: 1964 · Source: Calculated at WACC=10.0%, mid-year convention</w:t>
      </w:r>
    </w:p>
    <w:p>
      <w:r>
        <w:rPr/>
        <w:t>Perpetuity Growth TV ($M) — Value: 22673 · Source: Calculated: 1659 × 1.025 / (10% – 2.5%)</w:t>
      </w:r>
    </w:p>
    <w:p>
      <w:r>
        <w:rPr/>
        <w:t>PV of Perpetuity TV ($M) — Value: 14783 · Source: Calculated: 22673 × 0.652</w:t>
      </w:r>
    </w:p>
    <w:p>
      <w:r>
        <w:rPr/>
        <w:t>Exit Multiple TV ($M) — Value: 42570 · Source: Calculated: 2838 × 15.0x</w:t>
      </w:r>
    </w:p>
    <w:p>
      <w:r>
        <w:rPr/>
        <w:t>PV of Exit Multiple TV ($M) — Value: 27756 · Source: Calculated: 42570 × 0.652</w:t>
      </w:r>
    </w:p>
    <w:p>
      <w:r>
        <w:rPr/>
        <w:t>Perpetuity Growth EV ($M) — Value: 16747 · Source: Calculated: 1964 + 14783</w:t>
      </w:r>
    </w:p>
    <w:p>
      <w:r>
        <w:rPr/>
        <w:t>Perpetuity Growth Equity Value ($M) — Value: 17237 · Source: Calculated: 16747 + 2660 – 2170</w:t>
      </w:r>
    </w:p>
    <w:p>
      <w:r>
        <w:rPr/>
        <w:t>Sources: OKTA-US Company Identity.xlsx, OKTA-US Income Statement Annual.xlsx, OKTA-US Balance Sheet Annual.xlsx, OKTA-US Cash Flow Annual.xlsx, OKTA-US Shares Outstanding.xlsx, OKTA-US Price History.xlsx, OKTA-US Revenue Estimate.xlsx, OKTA-US Earnings Estimate.xlsx, betas_by_industry_category_for_WACC.xlsx, Equity_Risk_Premium_for_WACC.xlsx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Okta (OKTA) — 5-Year DCF Valuation Analysis (Perpetuity Growth &amp; Exit Multiple Methods)</dc:title>
  <dc:creator>NodeAgent</dc:creator>
</cp:coreProperties>
</file>