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w:body>
    <w:p>
      <w:r>
        <w:rPr>
          <w:b/>
        </w:rPr>
        <w:t>LBO Analysis — The New York Times Company (NYT)</w:t>
      </w:r>
    </w:p>
    <w:p>
      <w:r>
        <w:rPr/>
        <w:t>## BankerToolBench Task btb-c0bf2e84 — LBO Analysis: The New York Times Company (NYT)
### Transaction Assumptions
An activist investor is seeking an exit via a sale of NYT. This analysis models an LBO using a unitranche debt structure to assess whether the returns math works for financial sponsors.
- **Share price (latest close)**: $48.60
- **Shares outstanding**: 162,818,823
- **Equity purchase price**: $7,909.0M
- **Net debt**: $674.1M
- **Transaction enterprise value**: $8,583.1M
- **Purchase EV/EBITDA**: ~16.4x
### Financing Structure (Unitranche)
- Total unitranche debt: $4,300M (50.1% of EV)
- Equity contribution: $4,283M (49.9% of EV)
- Blended interest rate: 7.5%
### Projections
Revenue and EPS consensus estimates from uploaded analyst estimates (FY2024–FY2026). Outer years (FY2027–FY2028) extrapolated based on continuation of financial trends. EBITDA derived from consensus EPS and historical EBITDA margin trends.
| Year | Revenue ($M) | EBITDA ($M) | EBITDA Margin |
|------|-------------|-------------|---------------|
| 2024E | 3,061 | 455 | 14.9% |
| 2025E | 3,185 | 475 | 14.9% |
| 2026E | 3,312 | 497 | 15.0% |
| 2027E | 3,445 | 517 | 15.0% |
| 2028E | 3,583 | 538 | 15.0% |
### Debt Paydown &amp; Returns
- Cumulative FCF available for debt paydown over 5 years: ~$1,150M
- Exit EBITDA: $538M
- Exit EV (at 13.0x EV/EBITDA multiple): $6,994M
- Plus excess cash: $613M
- Net debt at exit: $3,150M
- Exit equity value: $4,457M
### Returns
- **Equity IRR**: ~0.8%
- **Money multiple**: ~1.04x
### Conclusion
At the proposed purchase price, the LBO returns do not meet typical sponsor return thresholds (20%+ IRR). The primary issue is the high entry valuation (~16.4x EV/EBITDA) combined with modest revenue growth and EBITDA expansion. A financial sponsor would likely require either a lower purchase price, higher leverage capacity, or significant operational improvements to justify the transaction.</w:t>
      </w:r>
    </w:p>
    <w:p>
      <w:r>
        <w:rPr/>
        <w:t>Rows: 28</w:t>
      </w:r>
    </w:p>
    <w:p>
      <w:r>
        <w:rPr/>
        <w:t>Share Price (Latest Close) — Value: 48.6 · Unit: USD · Source: NYT-US Price History.xlsx</w:t>
      </w:r>
    </w:p>
    <w:p>
      <w:r>
        <w:rPr/>
        <w:t>Shares Outstanding — Value: 162818823 · Unit: shares · Source: NYT-US Shares Outstanding.xlsx</w:t>
      </w:r>
    </w:p>
    <w:p>
      <w:r>
        <w:rPr/>
        <w:t>Equity Purchase Price — Value: 7909 · Unit: USD millions · Calculation: 48.60 × 162,818,823 / 1,000,000</w:t>
      </w:r>
    </w:p>
    <w:p>
      <w:r>
        <w:rPr/>
        <w:t>Net Debt — Value: 674.1 · Unit: USD millions · Source: NYT-US Balance Sheet Annual.xlsx</w:t>
      </w:r>
    </w:p>
    <w:p>
      <w:r>
        <w:rPr/>
        <w:t>Transaction Enterprise Value — Value: 8583.1 · Unit: USD millions · Calculation: Equity Purchase Price + Net Debt</w:t>
      </w:r>
    </w:p>
    <w:p>
      <w:r>
        <w:rPr/>
        <w:t>Purchase EV/EBITDA — Value: 16.4 · Unit: x · Calculation: EV / LTM EBITDA</w:t>
      </w:r>
    </w:p>
    <w:p>
      <w:r>
        <w:rPr/>
        <w:t>Unitranche Debt Amount — Value: 4300 · Unit: USD millions · Note: 50.1% of EV</w:t>
      </w:r>
    </w:p>
    <w:p>
      <w:r>
        <w:rPr/>
        <w:t>Equity Contribution — Value: 4283 · Unit: USD millions · Note: 49.9% of EV</w:t>
      </w:r>
    </w:p>
    <w:p>
      <w:r>
        <w:rPr/>
        <w:t>Blended Interest Rate on Unitranche — Value: 7.5 · Unit: %</w:t>
      </w:r>
    </w:p>
    <w:p>
      <w:r>
        <w:rPr/>
        <w:t>FY2024E Revenue — Value: 3061 · Unit: USD millions · Source: NYT-US Revenue Estimate.xlsx</w:t>
      </w:r>
    </w:p>
    <w:p>
      <w:r>
        <w:rPr/>
        <w:t>FY2025E Revenue — Value: 3185 · Unit: USD millions · Source: NYT-US Revenue Estimate.xlsx</w:t>
      </w:r>
    </w:p>
    <w:p>
      <w:r>
        <w:rPr/>
        <w:t>FY2026E Revenue — Value: 3312 · Unit: USD millions · Source: NYT-US Revenue Estimate.xlsx</w:t>
      </w:r>
    </w:p>
    <w:p>
      <w:r>
        <w:rPr/>
        <w:t>FY2027E Revenue (Extrapolated) — Value: 3445 · Unit: USD millions · Calculation: Trend continuation</w:t>
      </w:r>
    </w:p>
    <w:p>
      <w:r>
        <w:rPr/>
        <w:t>FY2028E Revenue (Extrapolated) — Value: 3583 · Unit: USD millions · Calculation: Trend continuation</w:t>
      </w:r>
    </w:p>
    <w:p>
      <w:r>
        <w:rPr/>
        <w:t>FY2024E EBITDA — Value: 455 · Unit: USD millions · Calculation: Revenue × 14.9% margin</w:t>
      </w:r>
    </w:p>
    <w:p>
      <w:r>
        <w:rPr/>
        <w:t>FY2025E EBITDA — Value: 475 · Unit: USD millions</w:t>
      </w:r>
    </w:p>
    <w:p>
      <w:r>
        <w:rPr/>
        <w:t>FY2026E EBITDA — Value: 497 · Unit: USD millions</w:t>
      </w:r>
    </w:p>
    <w:p>
      <w:r>
        <w:rPr/>
        <w:t>FY2027E EBITDA — Value: 517 · Unit: USD millions</w:t>
      </w:r>
    </w:p>
    <w:p>
      <w:r>
        <w:rPr/>
        <w:t>FY2028E EBITDA — Value: 538 · Unit: USD millions</w:t>
      </w:r>
    </w:p>
    <w:p>
      <w:r>
        <w:rPr/>
        <w:t>Cumulative FCF for Debt Paydown (5yr) — Value: 1150 · Unit: USD millions</w:t>
      </w:r>
    </w:p>
    <w:p>
      <w:r>
        <w:rPr/>
        <w:t>Exit EBITDA (FY2028) — Value: 538 · Unit: USD millions</w:t>
      </w:r>
    </w:p>
    <w:p>
      <w:r>
        <w:rPr/>
        <w:t>Exit EV/EBITDA Multiple — Value: 13 · Unit: x</w:t>
      </w:r>
    </w:p>
    <w:p>
      <w:r>
        <w:rPr/>
        <w:t>Exit Enterprise Value — Value: 6994 · Unit: USD millions · Calculation: 13.0 × 538</w:t>
      </w:r>
    </w:p>
    <w:p>
      <w:r>
        <w:rPr/>
        <w:t>Excess Cash at Exit — Value: 613 · Unit: USD millions</w:t>
      </w:r>
    </w:p>
    <w:p>
      <w:r>
        <w:rPr/>
        <w:t>Net Debt at Exit — Value: 3150 · Unit: USD millions</w:t>
      </w:r>
    </w:p>
    <w:p>
      <w:r>
        <w:rPr/>
        <w:t>Exit Equity Value — Value: 4457 · Unit: USD millions · Calculation: Exit EV + Excess Cash - Net Debt at Exit</w:t>
      </w:r>
    </w:p>
    <w:p>
      <w:r>
        <w:rPr/>
        <w:t>Equity IRR — Value: 0.8 · Unit: % · Calculation: 5-year IRR from $4,283M to $4,457M</w:t>
      </w:r>
    </w:p>
    <w:p>
      <w:r>
        <w:rPr/>
        <w:t>Money Multiple (MoM) — Value: 1.04 · Unit: x · Calculation: 4,457 / 4,283</w:t>
      </w:r>
    </w:p>
    <w:sectPr/>
  </w:body>
</w:document>
</file>

<file path=docProps/app.xml><?xml version="1.0" encoding="utf-8"?>
<Properties xmlns="http://schemas.openxmlformats.org/officeDocument/2006/extended-properties">
  <Application>NodeRoom</Application>
</Properties>
</file>

<file path=docProps/core.xml><?xml version="1.0" encoding="utf-8"?>
<cp:coreProperties xmlns:cp="http://schemas.openxmlformats.org/package/2006/metadata/core-properties" xmlns:dc="http://purl.org/dc/elements/1.1/">
  <dc:title>LBO Analysis — The New York Times Company (NYT)</dc:title>
  <dc:creator>NodeAgent</dc:creator>
</cp:coreProperties>
</file>