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Equity Waterfall Model — PE Returns Bridge with Preferred Equity, Two-Tranche Common &amp; Gain-Share Threshold</w:t>
      </w:r>
    </w:p>
    <w:p>
      <w:r>
        <w:rPr/>
        <w:t>## Equity Waterfall Model — PE Returns Bridge
### Model Overview
This deliverable builds a fully dynamic equity waterfall model replicating a PE returns bridge with a preferred equity layer and a two-tranche common equity structure with a gain-share threshold. All outputs are formula-driven and auditable.
### Capital Structure (Entry)
| Component | Investor | Amount ($M) | Type |
|---|---|---|---|
| Sponsor Preferred | Sponsor | 100.0 | Preferred (8% PIK) |
| Sponsor Common | Sponsor | 40.0 | Common |
| Rollover Equity | Seller | 40.0 | Common |
| Management Common | Management | 20.0 | Common |
| **Total Equity** | | **200.0** | |
- **Entry EV**: $500M | **Entry EBITDA**: $50M (10.0x) | **Net Debt**: $300M | **Hold Period**: 5 years
### Waterfall Mechanics
1. **Preferred Layer**: Sponsor receives original $100M + 8% PIK accumulated over 5 years = $146.93M
2. **Return of Capital to Common**: $100M returned pro rata (Sponsor $40M / Rollover $40M / Mgmt $20M)
3. **Tranche 1 (First $50M of gains)**: Split 40% Sponsor / 40% Rollover / 20% Management
4. **Tranche 2 (Gains above $50M — Gain-Share Threshold)**: Split 30% Sponsor / 40% Rollover / 30% Management (sponsor gives up economics to management/seller)
### Exit Scenarios (Exit EBITDA $60M, Net Debt $250M)
| Exit Multiple | Exit EV | Equity Value | Preferred Payoff | Common Proceeds | Total Distrib |
|---|---|---|---|---|---|
| 8.0x | 480.0 | 230.0 | 146.93 | 83.07 | 230.00 |
| 9.0x | 540.0 | 290.0 | 146.93 | 143.07 | 290.00 |
| 10.0x | 600.0 | 350.0 | 146.93 | 203.07 | 350.00 |
| 11.0x | 660.0 | 410.0 | 146.93 | 263.07 | 410.00 |
| 12.0x | 720.0 | 470.0 | 146.93 | 323.07 | 470.00 |
### Proceeds by Investor
| Exit Mult | Sponsor Total ($M) | Rollover Total ($M) | Mgmt Total ($M) | Sponsor MOIC | Rollover MOIC | Mgmt MOIC |
|---|---|---|---|---|---|---|
| 8.0x | 180.16 | 33.23 | 16.61 | 1.29x | 0.83x | 0.83x |
| 9.0x | 204.16 | 57.23 | 28.61 | 1.46x | 1.43x | 1.43x |
| 10.0x | 222.85 | 81.23 | 45.92 | 1.59x | 2.03x | 2.30x |
| 11.0x | 240.85 | 105.23 | 63.92 | 1.72x | 2.63x | 3.20x |
| 12.0x | 258.85 | 129.23 | 81.92 | 1.85x | 3.23x | 4.10x |
### Key Observations
- At 8x exit, common equity takes a loss ($83M vs $100M invested) since proceeds fall below original capital
- Gain-share threshold ($50M) kicks in at ~10x exit, shifting economics toward rollover and management
- Management benefits most from the gain-share structure, reaching 4.10x MOIC at 12x exit
- Sponsor preferred layer provides downside protection with guaranteed 8% PIK return
### Source Files
- Betas by industry category (artifact j9710a8xekpkmjy8remd18pk3989d53d) — supporting WACC reference data
- Equity Risk Premium (artifact j975e2m935vxrak9kxf9t6h33s89d93e) — supporting WACC reference data
- Official task brief (artifact j977enq0sfg0xqwty09dkpv3ss89d31w)</w:t>
      </w:r>
    </w:p>
    <w:p>
      <w:r>
        <w:rPr/>
        <w:t>Rows: 15</w:t>
      </w:r>
    </w:p>
    <w:p>
      <w:r>
        <w:rPr/>
        <w:t>Capital Structure — Sponsor Preferred Investment — Investor: Sponsor · Type: Preferred Equity (8% PIK) · Amount Musd: 100 · Ownership Pct: 50</w:t>
      </w:r>
    </w:p>
    <w:p>
      <w:r>
        <w:rPr/>
        <w:t>Capital Structure — Sponsor Common Investment — Investor: Sponsor · Type: Common Equity · Amount Musd: 40 · Ownership Pct: 20</w:t>
      </w:r>
    </w:p>
    <w:p>
      <w:r>
        <w:rPr/>
        <w:t>Capital Structure — Rollover Equity (Seller) — Investor: Seller Rollover · Type: Common Equity · Amount Musd: 40 · Ownership Pct: 20</w:t>
      </w:r>
    </w:p>
    <w:p>
      <w:r>
        <w:rPr/>
        <w:t>Capital Structure — Management Common — Investor: Management · Type: Common Equity · Amount Musd: 20 · Ownership Pct: 10</w:t>
      </w:r>
    </w:p>
    <w:p>
      <w:r>
        <w:rPr/>
        <w:t>Capital Structure — Total Equity — Investor: Total · Type: All · Amount Musd: 200 · Ownership Pct: 100</w:t>
      </w:r>
    </w:p>
    <w:p>
      <w:r>
        <w:rPr/>
        <w:t>Deal Assumptions — Entry — Entry Ev Musd: 500 · Entry Ebitda Musd: 50 · Entry Multiple: 10 · Net Debt Musd: 300 · Total Equity Musd: 200 · Hold Period Years: 5</w:t>
      </w:r>
    </w:p>
    <w:p>
      <w:r>
        <w:rPr/>
        <w:t>Preferred Equity Terms — Preferred Amount Musd: 100 · Preferred Rate Pct: 8 · Compounding: PIK · Hold Years: 5 · Accumulated Preferred Musd: 146.93</w:t>
      </w:r>
    </w:p>
    <w:p>
      <w:r>
        <w:rPr/>
        <w:t>Common Waterfall — Return of Capital — Sponsor Common Roc Musd: 40 · Rollover Roc Musd: 40 · Management Roc Musd: 20 · Total Roc Musd: 100</w:t>
      </w:r>
    </w:p>
    <w:p>
      <w:r>
        <w:rPr/>
        <w:t>Common Waterfall — Tranche 1 (First $50M Gains) — Threshold Musd: 50 · Sponsor Share Pct: 40 · Rollover Share Pct: 40 · Management Share Pct: 20</w:t>
      </w:r>
    </w:p>
    <w:p>
      <w:r>
        <w:rPr/>
        <w:t>Common Waterfall — Tranche 2 (Gains Above Threshold — Gain Share) — Threshold Musd: 50 · Sponsor Share Pct: 30 · Rollover Share Pct: 40 · Management Share Pct: 30</w:t>
      </w:r>
    </w:p>
    <w:p>
      <w:r>
        <w:rPr/>
        <w:t>Exit Scenario — 8.0x Multiple — Exit Multiple: 8 · Exit Ev Musd: 480 · Net Debt Exit Musd: 250 · Equity Value Musd: 230 · Preferred Payoff Musd: 146.93 · Common Proceeds Musd: 83.07 · Total Distributed Musd: 230 · Sponsor Total Musd: 180.16 · Rollover Total Musd: 33.23 · Management Total Musd: 16.61 · Sponsor Moic: 1.29 · Rollover Moic: 0.83</w:t>
      </w:r>
    </w:p>
    <w:p>
      <w:r>
        <w:rPr/>
        <w:t>Exit Scenario — 9.0x Multiple — Exit Multiple: 9 · Exit Ev Musd: 540 · Net Debt Exit Musd: 250 · Equity Value Musd: 290 · Preferred Payoff Musd: 146.93 · Common Proceeds Musd: 143.07 · Total Distributed Musd: 290 · Sponsor Total Musd: 204.16 · Rollover Total Musd: 57.23 · Management Total Musd: 28.61 · Sponsor Moic: 1.46 · Rollover Moic: 1.43</w:t>
      </w:r>
    </w:p>
    <w:p>
      <w:r>
        <w:rPr/>
        <w:t>Exit Scenario — 10.0x Multiple — Exit Multiple: 10 · Exit Ev Musd: 600 · Net Debt Exit Musd: 250 · Equity Value Musd: 350 · Preferred Payoff Musd: 146.93 · Common Proceeds Musd: 203.07 · Total Distributed Musd: 350 · Sponsor Total Musd: 222.85 · Rollover Total Musd: 81.23 · Management Total Musd: 45.92 · Sponsor Moic: 1.59 · Rollover Moic: 2.03</w:t>
      </w:r>
    </w:p>
    <w:p>
      <w:r>
        <w:rPr/>
        <w:t>Exit Scenario — 11.0x Multiple — Exit Multiple: 11 · Exit Ev Musd: 660 · Net Debt Exit Musd: 250 · Equity Value Musd: 410 · Preferred Payoff Musd: 146.93 · Common Proceeds Musd: 263.07 · Total Distributed Musd: 410 · Sponsor Total Musd: 240.85 · Rollover Total Musd: 105.23 · Management Total Musd: 63.92 · Sponsor Moic: 1.72 · Rollover Moic: 2.63</w:t>
      </w:r>
    </w:p>
    <w:p>
      <w:r>
        <w:rPr/>
        <w:t>Exit Scenario — 12.0x Multiple — Exit Multiple: 12 · Exit Ev Musd: 720 · Net Debt Exit Musd: 250 · Equity Value Musd: 470 · Preferred Payoff Musd: 146.93 · Common Proceeds Musd: 323.07 · Total Distributed Musd: 470 · Sponsor Total Musd: 258.85 · Rollover Total Musd: 129.23 · Management Total Musd: 81.92 · Sponsor Moic: 1.85 · Rollover Moic: 3.23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Equity Waterfall Model — PE Returns Bridge with Preferred Equity, Two-Tranche Common &amp; Gain-Share Threshold</dc:title>
  <dc:creator>NodeAgent</dc:creator>
</cp:coreProperties>
</file>