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Project Redwood – Pro Forma Capitalization &amp; Ownership Analysis</w:t>
      </w:r>
    </w:p>
    <w:p>
      <w:r>
        <w:rPr/>
        <w:t>## Executive Summary
Project Redwood is a pro forma capitalization and ownership analysis built from the company's fully diluted cap table. The deliverable package includes: (i) a single-tab dynamic Excel model, (ii) an investor-ready PowerPoint slide, (iii) a PDF export of the slide, and (iv) a Word memo.
## Methodology
### Source Data
- **Cap Table (Fully Diluted):** Starting capitalization extracted from the uploaded Cap_Table_Fully_Diluted.xlsx. The fully diluted cap table lists all common stock, preferred stock, options, warrants, RSUs, and other convertible securities on an as-converted basis.
- **Equity Risk Premium:** Sourced from Equity_Risk_Premium_for_WACC.xlsx for supplementary WACC context.
- **Industry Betas:** Sourced from betas_by_industry_category_for_WACC.xlsx for supplementary WACC context.
### Pro Forma Capitalization Build
1. **Starting Capitalization (Pre-Money):** All fully diluted shares from the existing cap table are aggregated by security class to establish the pre-money share count and ownership percentages.
2. **New Investment (Primary):** The new primary investment dollars are converted to new shares using the agreed pre-money valuation and the current share price, yielding the new shares issued.
3. **Pro Forma Ownership:** Post-financing ownership is computed for each existing class and the new investor, both on a share-count basis and on a value basis.
4. **Ownership Dilution:** Dilution for each existing holder is measured as the difference between pre-money and pro forma ownership percentages.
5. **Value Bridge:** Pre-money equity value, new cash invested, and post-money equity value are reconciled.
### Key Outputs
- **Pre-money fully diluted shares:** Total as-converted shares from cap table
- **Pre-money ownership %:** By security class and in aggregate for existing holders
- **New investor ownership %:** Pro forma stake after primary issuance
- **Post-money valuation:** Pre-money valuation + new investment
- **Dilution to existing holders:** Percentage point reduction in ownership
- **Per-share price:** Implied from pre-money valuation / pre-money FD shares
## Assumptions
- The cap table provided is the authoritative, fully diluted capitalization as of the analysis date.
- All options, warrants, RSUs, and convertibles are included on an as-converted (treasury stock method not applied unless specified in source) basis.
- The new investment is structured as a primary issuance of new preferred shares at the negotiated pre-money valuation.
- No secondary sales, option grants, or recapitalization events are modeled beyond the primary raise.
## File Inventory
1. **Project_Redwood_Pro_Forma_Cap_Model.xlsx** — Single-tab dynamic Excel model with inputs, calculations, and pro forma cap table.
2. **Project_Redwood_Pro_Forma_Cap_Model.xlsm** — Macro-enabled version for dynamic recalculation.
3. **Project_Redwood_Investor_Slide.pptx** — Single investor-ready PowerPoint slide.
4. **Project_Redwood_Memo.docx** — Word memo summarizing the analysis.
5. **Project_Redwood_Investor_Slide.pdf** — PDF export of the slide.
6. **manifest.json** — Package manifest with file metadata and provenance.</w:t>
      </w:r>
    </w:p>
    <w:p>
      <w:r>
        <w:rPr/>
        <w:t>Rows: 11</w:t>
      </w:r>
    </w:p>
    <w:p>
      <w:r>
        <w:rPr/>
        <w:t>Pre-Money Valuation ($M) — Value: 120 · Unit: USD millions · Source: Cap_Table_Fully_Diluted.xlsx; investor term · Confidence: 0.9</w:t>
      </w:r>
    </w:p>
    <w:p>
      <w:r>
        <w:rPr/>
        <w:t>New Investment ($M) — Value: 25 · Unit: USD millions · Source: Cap_Table_Fully_Diluted.xlsx; investor term · Confidence: 0.9</w:t>
      </w:r>
    </w:p>
    <w:p>
      <w:r>
        <w:rPr/>
        <w:t>Post-Money Valuation ($M) — Value: 145 · Unit: USD millions · Source: Pre-money + new investment · Confidence: 0.95</w:t>
      </w:r>
    </w:p>
    <w:p>
      <w:r>
        <w:rPr/>
        <w:t>Pre-Money Fully Diluted Shares — Value: 10000000 · Unit: shares · Source: Cap_Table_Fully_Diluted.xlsx · Confidence: 0.95</w:t>
      </w:r>
    </w:p>
    <w:p>
      <w:r>
        <w:rPr/>
        <w:t>Implied Pre-Money Share Price ($) — Value: 12 · Unit: USD/share · Source: Pre-money valuation / pre-money FD shares · Confidence: 0.95</w:t>
      </w:r>
    </w:p>
    <w:p>
      <w:r>
        <w:rPr/>
        <w:t>New Shares Issued — Value: 2083333 · Unit: shares · Source: New investment / implied share price · Confidence: 0.95</w:t>
      </w:r>
    </w:p>
    <w:p>
      <w:r>
        <w:rPr/>
        <w:t>Post-Money Fully Diluted Shares — Value: 12083333 · Unit: shares · Source: Pre-money FD + new shares · Confidence: 0.95</w:t>
      </w:r>
    </w:p>
    <w:p>
      <w:r>
        <w:rPr/>
        <w:t>New Investor Ownership (%) — Value: 17.24 · Unit: percent · Source: New shares / post-money FD shares · Confidence: 0.95</w:t>
      </w:r>
    </w:p>
    <w:p>
      <w:r>
        <w:rPr/>
        <w:t>Existing Holders Ownership (Pre-Money %) — Value: 100 · Unit: percent · Source: Cap_Table_Fully_Diluted.xlsx · Confidence: 0.95</w:t>
      </w:r>
    </w:p>
    <w:p>
      <w:r>
        <w:rPr/>
        <w:t>Existing Holders Ownership (Pro Forma %) — Value: 82.76 · Unit: percent · Source: 1 - new investor ownership · Confidence: 0.95</w:t>
      </w:r>
    </w:p>
    <w:p>
      <w:r>
        <w:rPr/>
        <w:t>Dilution to Existing Holders (pp) — Value: 17.24 · Unit: percentage points · Source: Pre-money % - pro forma % · Confidence: 0.95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Project Redwood – Pro Forma Capitalization &amp; Ownership Analysis</dc:title>
  <dc:creator>NodeAgent</dc:creator>
</cp:coreProperties>
</file>