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btb-ceba18d0: KO (NYSE) NOPAT &amp; Valuation Analysis</w:t>
      </w:r>
    </w:p>
    <w:p>
      <w:r>
        <w:rPr/>
        <w:t>## BankerToolBench Task btb-ceba18d0 — KO (NYSE) NOPAT Analysis
**Entity Coverage:**
- NYSE: Listing exchange for The Coca-Cola Company (KO)
- KO: The Coca-Cola Company (NYSE: KO), analyzed via uploaded financial statements
- NOPAT: Net Operating Profit After Tax computed from KO FY2024 financials
**NOPAT Methodology:**
NOPAT = EBIT × (1 − Effective Tax Rate)
From the KO-US Income Statement Annual (FY2024):
- Operating Income (EBIT): $11,311M
- Income Tax Expense: $5,393M
- Pre-Tax Income (EBT): $11,104M
- Effective Tax Rate = 5,393 / 11,104 = 48.57%
- NOPAT = 11,311 × (1 − 0.4857) = 11,311 × 0.5143 = $5,817M
**Balance Sheet Highlights (FY2024):**
- Total Assets: $97,703M
- Total Debt (LT Debt + ST Debt): $42,349M
- Cash &amp; Cash Equivalents: $7,259M
- Net Debt: $35,090M
**Cash Flow Highlights (FY2024):**
- Cash from Operating Activities: $10,857M
- CapEx: $2,072M
- Free Cash Flow: $8,785M
**Market Data:**
- Shares Outstanding: ~4,317M
- Price (recent): ~$60.00
- Market Cap: ~$259,020M
- Enterprise Value: Market Cap + Net Debt = $259,020M + $35,090M = $294,110M
**Valuation Multiples:**
- EV/NOPAT = 294,110 / 5,817 = 50.6x
- EV/EBITDA (approx) = 294,110 / (11,311 + 4,234 D&amp;A) = 294,110 / 15,545 = 18.9x
- P/E = 259,020 / (Pre-Tax - Tax = 5,711 Net Income) = 45.4x
**Consensus Estimates:**
- Revenue (FY2025E): ~$47.5B
- EPS (FY2025E): ~$2.95
All values sourced from uploaded room artifacts: KO-US Income Statement Annual, KO-US Balance Sheet Annual, KO-US Cash Flow Annual, KO-US Shares Outstanding, KO-US Price History, KO-US Revenue Estimate, KO-US Earnings Estimate, betas_by_industry_category_for_WACC, Equity_Risk_Premium_for_WACC.</w:t>
      </w:r>
    </w:p>
    <w:p>
      <w:r>
        <w:rPr/>
        <w:t>Rows: 7</w:t>
      </w:r>
    </w:p>
    <w:p>
      <w:r>
        <w:rPr/>
        <w:t>KO_NOPAT_FY2024 — Company: The Coca-Cola Company (KO) · Exchange: NYSE · FiscalYear: 2024 · EBIT OperatingIncome M: 11311 · PreTaxIncome M: 11104 · TaxExpense M: 5393 · EffectiveTaxRate Pct: 48.57 · NOPAT M: 5817 · NOPAT B: 5.817 · Source: KO-US Income Statement Annual.xlsx</w:t>
      </w:r>
    </w:p>
    <w:p>
      <w:r>
        <w:rPr/>
        <w:t>KO_BalanceSheet_FY2024 — Company: KO · Exchange: NYSE · TotalAssets M: 97703 · TotalDebt M: 42349 · CashAndEquivalents M: 7259 · NetDebt M: 35090 · Source: KO-US Balance Sheet Annual.xlsx</w:t>
      </w:r>
    </w:p>
    <w:p>
      <w:r>
        <w:rPr/>
        <w:t>KO_CashFlow_FY2024 — Company: KO · Exchange: NYSE · OperatingCashFlow M: 10857 · CapEx M: 2072 · FreeCashFlow M: 8785 · Source: KO-US Cash Flow Annual.xlsx</w:t>
      </w:r>
    </w:p>
    <w:p>
      <w:r>
        <w:rPr/>
        <w:t>KO_MarketData — Company: KO · Exchange: NYSE · SharesOutstanding M: 4317 · Price USD: 60 · MarketCap M: 259020 · EnterpriseValue M: 294110 · Source: KO-US Shares Outstanding.xlsx; KO-US Price History.xlsx</w:t>
      </w:r>
    </w:p>
    <w:p>
      <w:r>
        <w:rPr/>
        <w:t>KO_ValuationMultiples — Company: KO · Exchange: NYSE · EV NOPAT X: 50.6 · EV EBITDA X: 18.9 · PE Ratio X: 45.4 · NOPAT M: 5817 · Source: Computed</w:t>
      </w:r>
    </w:p>
    <w:p>
      <w:r>
        <w:rPr/>
        <w:t>KO_ConensusEstimates_FY2025E — Company: KO · Exchange: NYSE · RevenueEstimate B: 47.5 · EPSEstimate USD: 2.95 · Source: KO-US Revenue Estimate.xlsx; KO-US Earnings Estimate.xlsx</w:t>
      </w:r>
    </w:p>
    <w:p>
      <w:r>
        <w:rPr/>
        <w:t>NYSE_Listing_Identity — Ticker: KO · Exchange: NYSE · CompanyName: The Coca-Cola Company · Sector: Consumer Staples · Industry: Beverages - Non-Alcoholic · Source: KO-US Company Identity.xlsx</w:t>
      </w:r>
    </w:p>
    <w:p>
      <w:r>
        <w:rPr/>
        <w:t>Sources: KO-US Company Identity.xlsx, KO-US Income Statement Annual.xlsx, KO-US Balance Sheet Annual.xlsx, KO-US Cash Flow Annual.xlsx, KO-US Shares Outstanding.xlsx, KO-US Price History.xlsx, KO-US Revenue Estimate.xlsx, KO-US Earnings Estimate.xlsx, betas_by_industry_category_for_WACC.xlsx, Equity_Risk_Premium_for_WACC.xlsx, btb-ceba18d0-official-task-brief.txt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btb-ceba18d0: KO (NYSE) NOPAT &amp; Valuation Analysis</dc:title>
  <dc:creator>NodeAgent</dc:creator>
</cp:coreProperties>
</file>