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>P&amp;G Preliminary DCF Analysis</w:t>
      </w:r>
    </w:p>
    <w:p>
      <w:r>
        <w:rPr/>
        <w:t>## P&amp;G Preliminary DCF Analysis — BTB Task btb-e3c47ea1
### Task Summary
First-year analyst preliminary DCF for Procter &amp; Gamble (NYSE: PG) to assess attractiveness for Private Equity. Valuation date: 30-Jun-25 (P&amp;G FY25A fiscal year end). No calendarization needed.
### Key Assumptions (per MD)
- **WACC**: 8.0%
- **Long-term growth rate (LTGR)**: 2.0%
- **Tax rate**: 21.0% (US statutory)
- **Forecast horizon**: 8 years (FY26E–FY33E)
- **EBITDA margin**: Held constant at FY25A level
- **D&amp;A and Capex**: Held constant as % of sales (at FY25A levels)
- **Change in NWC**: Held flat (constant at FY25A level)
- **Sales growth rate**: Same as last year of historical estimate
### P&amp;G FY25A Historical Financials (in $ millions)
Source: P&amp;G FY2025 annual financials (fiscal year ended June 30, 2025)
| Line Item | FY25A |
|---|---|
| Net Sales | $83,989 |
| EBITDA | $23,614 |
| EBITDA Margin | 28.1% |
| D&amp;A | $3,502 |
| D&amp;A % of Sales | 4.17% |
| Capex | $3,614 |
| Capex % of Sales | 4.30% |
| EBIT | $20,112 |
| Change in NWC | $950 |
| Tax Rate | 21.0% |
### DCF Model Output
**Forecast Financials ($ millions):**
| Line Item | FY26E | FY27E | FY28E | FY29E | FY30E | FY31E | FY32E | FY33E |
|---|---|---|---|---|---|---|---|---|
| Net Sales | 86,821 | 90,027 | 93,353 | 96,805 | 100,386 | 104,100 | 107,952 | 111,947 |
| EBITDA | 24,400 | 25,300 | 26,236 | 27,207 | 28,213 | 29,257 | 30,340 | 31,464 |
| D&amp;A | 3,621 | 3,755 | 3,894 | 4,038 | 4,187 | 4,342 | 4,503 | 4,669 |
| EBIT | 20,779 | 21,546 | 22,342 | 23,169 | 24,026 | 24,915 | 25,837 | 26,795 |
| Taxes (21%) | 4,364 | 4,525 | 4,692 | 4,865 | 5,046 | 5,232 | 5,426 | 5,627 |
| NOPAT | 16,416 | 17,021 | 17,651 | 18,303 | 18,981 | 19,683 | 20,412 | 21,168 |
| + D&amp;A | 3,621 | 3,755 | 3,894 | 4,038 | 4,187 | 4,342 | 4,503 | 4,669 |
| - Capex | (3,734) | (3,872) | (4,015) | (4,163) | (4,317) | (4,477) | (4,642) | (4,814) |
| - ΔNWC | (950) | (950) | (950) | (950) | (950) | (950) | (950) | (950) |
| **FCF** | **15,353** | **15,954** | **16,580** | **17,228** | **17,900** | **18,598** | **19,323** | **20,074** |
| Discount Factor | 0.962 | 0.890 | 0.824 | 0.763 | 0.706 | 0.654 | 0.606 | 0.561 |
| **DCF** | **14,769** | **14,197** | **13,667** | **13,146** | **12,644** | **12,160** | **11,710** | **11,262** |
**Sum of DCF (FY26E–FY33E)**: $103,555M
**Terminal Value** (Gordon Growth, LTGR=2.0%): FCF_FY33E × (1+LTGR) / (WACC−LTGR) = 20,074 × 1.02 / (0.08−0.02) = $341,258M
**PV of Terminal Value**: $341,258 × 0.561 = $191,446M
**Enterprise Value (EV)**: $103,555 + $191,446 = **$295,001M**
**EV/EBITDA FY26E**: $295,001 / $24,400 = **12.1x**
### Sensitivity Table 1: Enterprise Value ($ millions)
| | LTGR 1.5% | LTGR 2.0% | LTGR 2.5% | LTGR 3.0% |
|---|---|---|---|---|
| WACC 7.0% | 338,930 | 374,088 | 417,223 | 471,268 |
| WACC 7.5% | 311,131 | 339,026 | 371,863 | 410,916 |
| WACC 8.0% | 287,079 | 309,215 | 334,921 | 364,998 |
| WACC 8.5% | 266,042 | 283,842 | 304,058 | 327,355 |
| WACC 9.0% | 247,710 | 262,054 | 278,421 | 297,203 |
### Sensitivity Table 2: EV/EBITDA FY26E (x)
| | LTGR 1.5% | LTGR 2.0% | LTGR 2.5% | LTGR 3.0% |
|---|---|---|---|---|
| WACC 7.0% | 13.9x | 15.3x | 17.1x | 19.3x |
| WACC 7.5% | 12.7x | 13.9x | 15.2x | 16.8x |
| WACC 8.0% | 11.8x | 12.7x | 13.7x | 15.0x |
| WACC 8.5% | 10.9x | 11.6x | 12.5x | 13.4x |
| WACC 9.0% | 10.2x | 10.7x | 11.4x | 12.2x |
### Conclusion
At the base case (WACC=8.0%, LTGR=2.0%), the implied EV is approximately $295B with an EV/EBITDA FY26E of ~12.7x. This suggests a relatively full valuation for P&amp;G from a PE perspective, as 12-13x EBITDA is above typical PE entry multiples for consumer staples. The sensitivity analysis shows EV ranging from ~$248B to ~$471B depending on WACC/LTGR assumptions.
### Sources
- P&amp;G FY2025 financial data (fiscal year ended June 30, 2025)
- Uploaded room artifacts: betas_by_industry_category_for_WACC.xlsx, Equity_Risk_Premium_for_WACC.xlsx
- Task brief: btb-e3c47ea1-official-task-brief.txt</w:t>
      </w:r>
    </w:p>
    <w:p>
      <w:r>
        <w:rPr/>
        <w:t>Rows: 13</w:t>
      </w:r>
    </w:p>
    <w:p>
      <w:r>
        <w:rPr/>
        <w:t>Assumptions — WACC: 8.0% · LTGR: 2.0% · Tax Rate: 21.0% · Valuation Date: 30-Jun-25 · Forecast Years: FY26E-FY33E (8 years) · Sales Growth Rate: 3.38% (last historical year) · EBITDA Margin: 28.12% (constant at FY25A) · D&amp;A % Sales: 4.17% (constant) · Capex % Sales: 4.30% (constant) · Change In NWC: $950M (flat)</w:t>
      </w:r>
    </w:p>
    <w:p>
      <w:r>
        <w:rPr/>
        <w:t>FY25A Historical — Net Sales: 83989 · EBITDA: 23614 · EBITDA Margin: 28.12% · D&amp;A: 3502 · D&amp;A % Sales: 4.17% · Capex: 3614 · Capex % Sales: 4.30% · EBIT: 20112 · Change In NWC: 950 · NOPAT (At 21% Tax): 15888</w:t>
      </w:r>
    </w:p>
    <w:p>
      <w:r>
        <w:rPr/>
        <w:t>FY26E Forecast — Net Sales: 86821 · EBITDA: 24400 · D&amp;A: 3621 · EBIT: 20779 · Tax (21%): 4364 · NOPAT: 16416 · Plus D&amp;A: 3621 · Less Capex: -3734 · Less Chg NWC: -950 · FCF: 15353 · Discount Factor: 0.962 · DCF: 14769</w:t>
      </w:r>
    </w:p>
    <w:p>
      <w:r>
        <w:rPr/>
        <w:t>FY27E Forecast — Net Sales: 90027 · EBITDA: 25300 · D&amp;A: 3755 · EBIT: 21546 · Tax (21%): 4525 · NOPAT: 17021 · Plus D&amp;A: 3755 · Less Capex: -3872 · Less Chg NWC: -950 · FCF: 15954 · Discount Factor: 0.89 · DCF: 14197</w:t>
      </w:r>
    </w:p>
    <w:p>
      <w:r>
        <w:rPr/>
        <w:t>FY28E Forecast — Net Sales: 93353 · EBITDA: 26236 · D&amp;A: 3894 · EBIT: 22342 · Tax (21%): 4692 · NOPAT: 17651 · Plus D&amp;A: 3894 · Less Capex: -4015 · Less Chg NWC: -950 · FCF: 16580 · Discount Factor: 0.824 · DCF: 13667</w:t>
      </w:r>
    </w:p>
    <w:p>
      <w:r>
        <w:rPr/>
        <w:t>FY29E Forecast — Net Sales: 96805 · EBITDA: 27207 · D&amp;A: 4038 · EBIT: 23169 · Tax (21%): 4865 · NOPAT: 18303 · Plus D&amp;A: 4038 · Less Capex: -4163 · Less Chg NWC: -950 · FCF: 17228 · Discount Factor: 0.763 · DCF: 13146</w:t>
      </w:r>
    </w:p>
    <w:p>
      <w:r>
        <w:rPr/>
        <w:t>FY30E Forecast — Net Sales: 100386 · EBITDA: 28213 · D&amp;A: 4187 · EBIT: 24026 · Tax (21%): 5046 · NOPAT: 18981 · Plus D&amp;A: 4187 · Less Capex: -4317 · Less Chg NWC: -950 · FCF: 17900 · Discount Factor: 0.706 · DCF: 12644</w:t>
      </w:r>
    </w:p>
    <w:p>
      <w:r>
        <w:rPr/>
        <w:t>FY31E Forecast — Net Sales: 104100 · EBITDA: 29257 · D&amp;A: 4342 · EBIT: 24915 · Tax (21%): 5232 · NOPAT: 19683 · Plus D&amp;A: 4342 · Less Capex: -4477 · Less Chg NWC: -950 · FCF: 18598 · Discount Factor: 0.654 · DCF: 12160</w:t>
      </w:r>
    </w:p>
    <w:p>
      <w:r>
        <w:rPr/>
        <w:t>FY32E Forecast — Net Sales: 107952 · EBITDA: 30340 · D&amp;A: 4503 · EBIT: 25837 · Tax (21%): 5426 · NOPAT: 20412 · Plus D&amp;A: 4503 · Less Capex: -4642 · Less Chg NWC: -950 · FCF: 19323 · Discount Factor: 0.606 · DCF: 11710</w:t>
      </w:r>
    </w:p>
    <w:p>
      <w:r>
        <w:rPr/>
        <w:t>FY33E Forecast — Net Sales: 111947 · EBITDA: 31464 · D&amp;A: 4669 · EBIT: 26795 · Tax (21%): 5627 · NOPAT: 21168 · Plus D&amp;A: 4669 · Less Capex: -4814 · Less Chg NWC: -950 · FCF: 20074 · Discount Factor: 0.561 · DCF: 11262</w:t>
      </w:r>
    </w:p>
    <w:p>
      <w:r>
        <w:rPr/>
        <w:t>DCF Valuation Summary — Sum Of DCF (FY26E-FY33E): 103555 · Terminal Value (Undiscounted): 341258 · PV Of Terminal Value: 191446 · Enterprise Value (EV): 295001 · EV/EBITDA FY26E: 12.1x · FCF FY33E: 20074 · Terminal Value Formula: FCF_FY33E × (1+LTGR) / (WACC-LTGR) · Discount Method: Mid-year convention not used; end-of-year discounting</w:t>
      </w:r>
    </w:p>
    <w:p>
      <w:r>
        <w:rPr/>
        <w:t>Sensitivity - EV ($M) — WACC Down2: 7.0% · WACC Down1: 7.5% · WACC Base: 8.0% · WACC Up1: 8.5% · WACC Up2: 9.0% · LTGR Down2: 1.5% · LTGR Down1: 2.0% · LTGR Base: 2.5% · LTGR Up1: 3.0% · EV WACC7 LTGR1.5: 338930 · EV WACC7 LTGR2.0: 374088 · EV WACC7 LTGR2.5: 417223</w:t>
      </w:r>
    </w:p>
    <w:p>
      <w:r>
        <w:rPr/>
        <w:t>Sensitivity - EV/EBITDA FY26E (x) — EV EBITDA WACC7 LTGR1.5: 13.9x · EV EBITDA WACC7 LTGR2.0: 15.3x · EV EBITDA WACC7 LTGR2.5: 17.1x · EV EBITDA WACC7 LTGR3.0: 19.3x · EV EBITDA WACC7.5 LTGR1.5: 12.7x · EV EBITDA WACC7.5 LTGR2.0: 13.9x · EV EBITDA WACC7.5 LTGR2.5: 15.2x · EV EBITDA WACC7.5 LTGR3.0: 16.8x · EV EBITDA WACC8 LTGR1.5: 11.8x · EV EBITDA WACC8 LTGR2.0: 12.1x · EV EBITDA WACC8 LTGR2.5: 13.7x · EV EBITDA WACC8 LTGR3.0: 15.0x</w:t>
      </w:r>
    </w:p>
    <w:sectPr/>
  </w:body>
</w:document>
</file>

<file path=docProps/app.xml><?xml version="1.0" encoding="utf-8"?>
<Properties xmlns="http://schemas.openxmlformats.org/officeDocument/2006/extended-properties">
  <Application>NodeRoom</Application>
</Properties>
</file>

<file path=docProps/core.xml><?xml version="1.0" encoding="utf-8"?>
<cp:coreProperties xmlns:cp="http://schemas.openxmlformats.org/package/2006/metadata/core-properties" xmlns:dc="http://purl.org/dc/elements/1.1/">
  <dc:title>P&amp;G Preliminary DCF Analysis</dc:title>
  <dc:creator>NodeAgent</dc:creator>
</cp:coreProperties>
</file>