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NFLX Long-Term Streaming Subscriber &amp; Revenue Profile (2013–2024)</w:t>
      </w:r>
    </w:p>
    <w:p>
      <w:r>
        <w:rPr/>
        <w:t>Long-term NFLX streaming subscriber and revenue profile (2013–2024) with average monthly revenue per subscriber, annual growth rates, and 3-year rolling CAGRs. Built from NFLX 10-K filings and uploaded source workbooks. Subscribers use the most consistent number across reporting changes (paid memberships vs. total streaming memberships), with caveats noted. Includes revenue chart, subscriber chart, and ARPU chart.</w:t>
      </w:r>
    </w:p>
    <w:p>
      <w:r>
        <w:rPr/>
        <w:t>Rows: 8</w:t>
      </w:r>
    </w:p>
    <w:p>
      <w:r>
        <w:rPr/>
        <w:t>Year — 2013: 2013 · 2014: 2014 · 2015: 2015 · 2016: 2016 · 2017: 2017 · 2018: 2018 · 2019: 2019 · 2020: 2020 · 2021: 2021 · 2022: 2022 · 2023: 2023 · 2024: 2024</w:t>
      </w:r>
    </w:p>
    <w:p>
      <w:r>
        <w:rPr/>
        <w:t>Total Streaming Subscribers (millions) — 2013: 44.35 · 2014: 57.39 · 2015: 70.13 · 2016: 89.09 · 2017: 110.64 · 2018: 139.26 · 2019: 167.09 · 2020: 203.66 · 2021: 221.84 · 2022: 230.75 · 2023: 260.28 · 2024: 301.63</w:t>
      </w:r>
    </w:p>
    <w:p>
      <w:r>
        <w:rPr/>
        <w:t>Total Revenue ($M) — 2013: 4375.6 · 2014: 5667 · 2015: 6779.5 · 2016: 8830.6 · 2017: 11716 · 2018: 15794.3 · 2019: 20156.1 · 2020: 24995.7 · 2021: 29697.9 · 2022: 31615.6 · 2023: 33723.3 · 2024: 39001.6</w:t>
      </w:r>
    </w:p>
    <w:p>
      <w:r>
        <w:rPr/>
        <w:t>Implied Average Monthly Revenue per Subscriber ($) — 2013: 8.22 · 2014: 8.23 · 2015: 8.06 · 2016: 8.26 · 2017: 8.82 · 2018: 9.45 · 2019: 10.04 · 2020: 10.23 · 2021: 11.16 · 2022: 11.41 · 2023: 10.8 · 2024: 10.78</w:t>
      </w:r>
    </w:p>
    <w:p>
      <w:r>
        <w:rPr/>
        <w:t>Annual Subscriber Growth (%) — 2013: null · 2014: 29.4 · 2015: 22.2 · 2016: 27 · 2017: 24.2 · 2018: 25.9 · 2019: 20 · 2020: 21.9 · 2021: 8.9 · 2022: 4 · 2023: 12.8 · 2024: 15.9</w:t>
      </w:r>
    </w:p>
    <w:p>
      <w:r>
        <w:rPr/>
        <w:t>Annual Revenue Growth (%) — 2013: null · 2014: 29.5 · 2015: 19.6 · 2016: 30.3 · 2017: 32.6 · 2018: 34.8 · 2019: 27.6 · 2020: 24 · 2021: 18.8 · 2022: 6.5 · 2023: 6.7 · 2024: 15.7</w:t>
      </w:r>
    </w:p>
    <w:p>
      <w:r>
        <w:rPr/>
        <w:t>3-Year Rolling Subscriber CAGR (%) — 2013: null · 2014: null · 2015: 16.4 · 2016: 26.1 · 2017: 25.7 · 2018: 25.7 · 2019: 22.4 · 2020: 24.2 · 2021: 16.8 · 2022: 12.9 · 2023: 8.4 · 2024: 14.5</w:t>
      </w:r>
    </w:p>
    <w:p>
      <w:r>
        <w:rPr/>
        <w:t>3-Year Rolling Revenue CAGR (%) — 2013: null · 2014: null · 2015: 15.7 · 2016: 27.8 · 2017: 31.4 · 2018: 34.5 · 2019: 30.5 · 2020: 29 · 2021: 22 · 2022: 14.2 · 2023: 9.5 · 2024: 16</w:t>
      </w:r>
    </w:p>
    <w:p>
      <w:r>
        <w:rPr/>
        <w:t>Sources: https://www.sec.gov/cgi-bin/browse-edgar?action=getcompany&amp;CIK=0001065280&amp;type=10-K</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NFLX Long-Term Streaming Subscriber &amp; Revenue Profile (2013–2024)</dc:title>
  <dc:creator>NodeAgent</dc:creator>
</cp:coreProperties>
</file>