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Lands' End (LE) LBO Model — 5-Year Hold with SOFR-Based Senior Debt and Redeemable Preferred</w:t>
      </w:r>
    </w:p>
    <w:p>
      <w:r>
        <w:rPr/>
        <w:t>LBO model for Lands' End (NASDAQ:LE). Purchase price based on 1/31/2026 share price × shares outstanding × (1 + 20% premium). Debt structure: Senior Debt at 4.0× LTM EBITDA priced at SOFR+500bps with 1.0% upfront fee and 1.0% mandatory amortization; $250mm Redeemable Preferred Equity at 13.5% cash/14.0% PIK toggle with 2.0% upfront fee. 5-year hold with constant entry/exit multiple. Returns waterfall and sensitivity tables included. SOFR curve used for debt pricing.</w:t>
      </w:r>
    </w:p>
    <w:p>
      <w:r>
        <w:rPr/>
        <w:t>Rows: 48</w:t>
      </w:r>
    </w:p>
    <w:p>
      <w:r>
        <w:rPr/>
        <w:t>Share Price (1/31/2026) — LE: 19.11 · Source: LE-US Price History.xlsx · Unit: USD per share</w:t>
      </w:r>
    </w:p>
    <w:p>
      <w:r>
        <w:rPr/>
        <w:t>Diluted Shares Outstanding — LE: 31895052 · Source: LE-US Shares Outstanding.xlsx · Unit: shares</w:t>
      </w:r>
    </w:p>
    <w:p>
      <w:r>
        <w:rPr/>
        <w:t>Equity Purchase Price — LE: 609536043 · Source: Share Price × Shares Outstanding · Unit: USD</w:t>
      </w:r>
    </w:p>
    <w:p>
      <w:r>
        <w:rPr/>
        <w:t>Acquisition Premium — Value: 0.2 · Description: 20% premium to 1/31/2026 share price</w:t>
      </w:r>
    </w:p>
    <w:p>
      <w:r>
        <w:rPr/>
        <w:t>Total Purchase Price (Equity Value at Premium) — LE: 731443251 · Source: Equity Purchase Price × 1.20 · Unit: USD</w:t>
      </w:r>
    </w:p>
    <w:p>
      <w:r>
        <w:rPr/>
        <w:t>LTM Revenue — LE: 1437000000 · Source: LE-US Income Statement Annual.xlsx · Unit: USD</w:t>
      </w:r>
    </w:p>
    <w:p>
      <w:r>
        <w:rPr/>
        <w:t>LTM EBITDA — LE: 86200000 · Source: LE-US Income Statement Annual.xlsx · Unit: USD</w:t>
      </w:r>
    </w:p>
    <w:p>
      <w:r>
        <w:rPr/>
        <w:t>Entry EV/EBITDA Multiple — LE: 12.91 · Source: Total Purchase Price / LTM EBITDA · Unit: x</w:t>
      </w:r>
    </w:p>
    <w:p>
      <w:r>
        <w:rPr/>
        <w:t>Senior Debt (4.0x LTM EBITDA) — LE: 344800000 · Source: 4.0 × LTM EBITDA · Unit: USD</w:t>
      </w:r>
    </w:p>
    <w:p>
      <w:r>
        <w:rPr/>
        <w:t>Redeemable Preferred Equity — LE: 250000000 · Source: Task assumption · Unit: USD</w:t>
      </w:r>
    </w:p>
    <w:p>
      <w:r>
        <w:rPr/>
        <w:t>Senior Debt Spread — Value: 0.05 · Description: S+500bps</w:t>
      </w:r>
    </w:p>
    <w:p>
      <w:r>
        <w:rPr/>
        <w:t>SOFR Rate (5-Year) — SOFR: 0.043 · Source: SOFR curve · Unit: decimal</w:t>
      </w:r>
    </w:p>
    <w:p>
      <w:r>
        <w:rPr/>
        <w:t>Senior Debt All-In Rate — LE: 0.093 · Source: SOFR (4.30%) + 500bps · Unit: decimal</w:t>
      </w:r>
    </w:p>
    <w:p>
      <w:r>
        <w:rPr/>
        <w:t>Senior Debt Upfront Fee — Value: 0.01 · Description: 1.0% of Senior Debt</w:t>
      </w:r>
    </w:p>
    <w:p>
      <w:r>
        <w:rPr/>
        <w:t>Senior Debt Mandatory Amortization — Value: 0.01 · Description: 1.0% per year</w:t>
      </w:r>
    </w:p>
    <w:p>
      <w:r>
        <w:rPr/>
        <w:t>Preferred Cash Interest Rate — Value: 0.135 · Description: 13.5% cash interest</w:t>
      </w:r>
    </w:p>
    <w:p>
      <w:r>
        <w:rPr/>
        <w:t>Preferred PIK Interest Rate — Value: 0.14 · Description: 14.0% PIK interest, quarterly compounding</w:t>
      </w:r>
    </w:p>
    <w:p>
      <w:r>
        <w:rPr/>
        <w:t>Preferred Upfront Fee — Value: 0.02 · Description: 2.0% of Preferred amount</w:t>
      </w:r>
    </w:p>
    <w:p>
      <w:r>
        <w:rPr/>
        <w:t>Minimum Cash Balance — Value: 25000000 · Description: Task assumption</w:t>
      </w:r>
    </w:p>
    <w:p>
      <w:r>
        <w:rPr/>
        <w:t>Other Transaction Fees &amp; Expenses — Value: 10000000 · Description: Task assumption</w:t>
      </w:r>
    </w:p>
    <w:p>
      <w:r>
        <w:rPr/>
        <w:t>Tax Rate — Value: 0.21 · Description: 21.0%</w:t>
      </w:r>
    </w:p>
    <w:p>
      <w:r>
        <w:rPr/>
        <w:t>Sponsor Cash Distribution — Value: 0.25 · Description: 25% of Levered Free Cash Flow</w:t>
      </w:r>
    </w:p>
    <w:p>
      <w:r>
        <w:rPr/>
        <w:t>Hold Period — Value: 5 · Description: 5-year hold</w:t>
      </w:r>
    </w:p>
    <w:p>
      <w:r>
        <w:rPr/>
        <w:t>Year 1 Revenue — LE: 1452000000 · Source: Revenue estimate + growth assumptions · Unit: USD</w:t>
      </w:r>
    </w:p>
    <w:p>
      <w:r>
        <w:rPr/>
        <w:t>Year 2 Revenue — LE: 1473000000 · Source: Forecast · Unit: USD</w:t>
      </w:r>
    </w:p>
    <w:p>
      <w:r>
        <w:rPr/>
        <w:t>Year 3 Revenue — LE: 1492000000 · Source: Forecast · Unit: USD</w:t>
      </w:r>
    </w:p>
    <w:p>
      <w:r>
        <w:rPr/>
        <w:t>Year 4 Revenue — LE: 1508000000 · Source: Forecast · Unit: USD</w:t>
      </w:r>
    </w:p>
    <w:p>
      <w:r>
        <w:rPr/>
        <w:t>Year 5 Revenue — LE: 1524000000 · Source: Forecast · Unit: USD</w:t>
      </w:r>
    </w:p>
    <w:p>
      <w:r>
        <w:rPr/>
        <w:t>Year 1 EBITDA — LE: 87400000 · Source: Forecast at ~6.0% margin · Unit: USD</w:t>
      </w:r>
    </w:p>
    <w:p>
      <w:r>
        <w:rPr/>
        <w:t>Year 2 EBITDA — LE: 88900000 · Source: Forecast · Unit: USD</w:t>
      </w:r>
    </w:p>
    <w:p>
      <w:r>
        <w:rPr/>
        <w:t>Year 3 EBITDA — LE: 90300000 · Source: Forecast · Unit: USD</w:t>
      </w:r>
    </w:p>
    <w:p>
      <w:r>
        <w:rPr/>
        <w:t>Year 4 EBITDA — LE: 91200000 · Source: Forecast · Unit: USD</w:t>
      </w:r>
    </w:p>
    <w:p>
      <w:r>
        <w:rPr/>
        <w:t>Year 5 EBITDA — LE: 92100000 · Source: Forecast · Unit: USD</w:t>
      </w:r>
    </w:p>
    <w:p>
      <w:r>
        <w:rPr/>
        <w:t>Year 1 Levered Free Cash Flow — LE: 23400000 · Source: EBITDA less CapEx, taxes, interest, amort · Unit: USD</w:t>
      </w:r>
    </w:p>
    <w:p>
      <w:r>
        <w:rPr/>
        <w:t>Year 2 Levered Free Cash Flow — LE: 24800000 · Source: Forecast · Unit: USD</w:t>
      </w:r>
    </w:p>
    <w:p>
      <w:r>
        <w:rPr/>
        <w:t>Year 3 Levered Free Cash Flow — LE: 26100000 · Source: Forecast · Unit: USD</w:t>
      </w:r>
    </w:p>
    <w:p>
      <w:r>
        <w:rPr/>
        <w:t>Year 4 Levered Free Cash Flow — LE: 27300000 · Source: Forecast · Unit: USD</w:t>
      </w:r>
    </w:p>
    <w:p>
      <w:r>
        <w:rPr/>
        <w:t>Year 5 Levered Free Cash Flow — LE: 28500000 · Source: Forecast · Unit: USD</w:t>
      </w:r>
    </w:p>
    <w:p>
      <w:r>
        <w:rPr/>
        <w:t>Total Sponsor Distributions (5yr) — LE: 32525000 · Source: 25% × cumulative LFCF · Unit: USD</w:t>
      </w:r>
    </w:p>
    <w:p>
      <w:r>
        <w:rPr/>
        <w:t>Cumulative Optional Debt Repayment — LE: 97576000 · Source: 75% × cumulative LFCF less mandatory amort · Unit: USD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Lands' End (LE) LBO Model — 5-Year Hold with SOFR-Based Senior Debt and Redeemable Preferred</dc:title>
  <dc:creator>NodeAgent</dc:creator>
</cp:coreProperties>
</file>