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10175" cy="3371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Router2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g0/0: 10.0.0.5/30 (conexión al Router1)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g0/1: 172.168.0.1/26 (conexión al Switch2)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Router1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g0/0: 10.0.0.6/30 (conexión al Router2)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g0/1: 172.168.0.65/27 (conexión al Switch1)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Conectado al Router2.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Red: 172.168.0.0/26.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Dispositivos conectados: PC2.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 PC2: 172.168.0.2/26.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Conectado al Router1.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Red: 172.168.0.64/27.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Dispositivos conectados: PC1.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 PC1: 172.168.0.66/27.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subredes están configuradas de la siguiente manera: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10.0.0.4/30: Se utiliza para la conexión punto a punto entre Router1 y Router2.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172.168.0.0/26: Se utiliza en la red de Router2 y Switch2.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172.168.0.64/27: Se utiliza en la red de Router1 y Switch1.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red consta de dos segmentos principales conectados a través de un enlace punto a punto entre los dos routers. Cada router está conectado a un switch, y cada switch está conectado a un PC en sus respectivas subredes. La configuración de las interfaces y las direcciones IP está detallada en la topología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