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0F46" w14:textId="2AEC8AE4" w:rsidR="00911466" w:rsidRPr="0085202E" w:rsidRDefault="00911466" w:rsidP="0008506A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  <w:r w:rsidRPr="0085202E">
        <w:rPr>
          <w:rFonts w:ascii="Times New Roman" w:hAnsi="Times New Roman" w:cs="Times New Roman"/>
          <w:b/>
          <w:bCs/>
          <w:sz w:val="28"/>
          <w:szCs w:val="28"/>
        </w:rPr>
        <w:t>УДК 621.311</w:t>
      </w:r>
    </w:p>
    <w:p w14:paraId="3DEC6825" w14:textId="77777777" w:rsidR="00911466" w:rsidRPr="0085202E" w:rsidRDefault="00911466" w:rsidP="0008506A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1E35149" w14:textId="67346B5F" w:rsidR="0008506A" w:rsidRPr="0085202E" w:rsidRDefault="00911466" w:rsidP="0091146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02E">
        <w:rPr>
          <w:rFonts w:ascii="Times New Roman" w:hAnsi="Times New Roman" w:cs="Times New Roman"/>
          <w:b/>
          <w:sz w:val="28"/>
          <w:szCs w:val="28"/>
        </w:rPr>
        <w:t>ЦИФРОВЫЕ СРЕДСТВА РАДИОТЕЛЕМЕТРИИ ДЛЯ IOT УСТРОЙСТВ</w:t>
      </w:r>
    </w:p>
    <w:p w14:paraId="0D3EE2A0" w14:textId="77777777" w:rsidR="00911466" w:rsidRPr="0085202E" w:rsidRDefault="00911466" w:rsidP="0091146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8C0B5" w14:textId="645EAB86" w:rsidR="00911466" w:rsidRPr="0085202E" w:rsidRDefault="00911466" w:rsidP="00911466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85202E">
        <w:rPr>
          <w:rFonts w:ascii="Times New Roman" w:hAnsi="Times New Roman" w:cs="Times New Roman"/>
          <w:b/>
          <w:sz w:val="28"/>
          <w:szCs w:val="28"/>
        </w:rPr>
        <w:t>Карманов А.А., Савостин А.А.</w:t>
      </w:r>
    </w:p>
    <w:p w14:paraId="1CA0EADC" w14:textId="2306035C" w:rsidR="00911466" w:rsidRPr="0085202E" w:rsidRDefault="00911466" w:rsidP="00911466">
      <w:pPr>
        <w:pStyle w:val="HTML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202E">
        <w:rPr>
          <w:rFonts w:ascii="Times New Roman" w:hAnsi="Times New Roman" w:cs="Times New Roman"/>
          <w:i/>
          <w:sz w:val="28"/>
          <w:szCs w:val="28"/>
        </w:rPr>
        <w:t>(</w:t>
      </w:r>
      <w:r w:rsidRPr="0085202E">
        <w:rPr>
          <w:rFonts w:ascii="Times New Roman" w:hAnsi="Times New Roman" w:cs="Times New Roman"/>
          <w:i/>
          <w:iCs/>
          <w:sz w:val="28"/>
          <w:szCs w:val="28"/>
        </w:rPr>
        <w:t xml:space="preserve">СКУ им. М. </w:t>
      </w:r>
      <w:proofErr w:type="spellStart"/>
      <w:r w:rsidRPr="0085202E">
        <w:rPr>
          <w:rFonts w:ascii="Times New Roman" w:hAnsi="Times New Roman" w:cs="Times New Roman"/>
          <w:i/>
          <w:iCs/>
          <w:sz w:val="28"/>
          <w:szCs w:val="28"/>
        </w:rPr>
        <w:t>Козыбаева</w:t>
      </w:r>
      <w:proofErr w:type="spellEnd"/>
      <w:r w:rsidRPr="0085202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FF872B2" w14:textId="77777777" w:rsidR="0008506A" w:rsidRPr="0085202E" w:rsidRDefault="0008506A" w:rsidP="0008506A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68ACD5AF" w14:textId="411B45B4" w:rsidR="008E73E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Настоящая статья обобщает и систематизирует данные,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>полученные в результате исследования по теме «ЦИФРОВЫЕ СРЕДСТВА РАДИОТЕЛЕМЕТРИИ ДЛЯ IOT УСТРОЙСТВ».</w:t>
      </w:r>
    </w:p>
    <w:p w14:paraId="498E8B1E" w14:textId="047BA5DC" w:rsidR="008E73E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Целью исследования является оценка возможности использования современных цифровых видов радиосвязи с малой мощностью излучения в качестве средств телеметрии для </w:t>
      </w:r>
      <w:proofErr w:type="spellStart"/>
      <w:r w:rsidRPr="0085202E">
        <w:rPr>
          <w:sz w:val="28"/>
          <w:szCs w:val="28"/>
          <w:lang w:val="en-US"/>
        </w:rPr>
        <w:t>IoT</w:t>
      </w:r>
      <w:proofErr w:type="spellEnd"/>
      <w:r w:rsidRPr="0085202E">
        <w:rPr>
          <w:sz w:val="28"/>
          <w:szCs w:val="28"/>
        </w:rPr>
        <w:t xml:space="preserve"> устройств, а также создание макета радиолинии для определения оптимальных параметров средства телеметрии.</w:t>
      </w:r>
    </w:p>
    <w:p w14:paraId="5726ACEC" w14:textId="1CB26330" w:rsidR="0085202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В качестве базовых ориентиров для исследования выбраны </w:t>
      </w:r>
      <w:proofErr w:type="spellStart"/>
      <w:r w:rsidRPr="0085202E">
        <w:rPr>
          <w:sz w:val="28"/>
          <w:szCs w:val="28"/>
        </w:rPr>
        <w:t>энергоэффективные</w:t>
      </w:r>
      <w:proofErr w:type="spellEnd"/>
      <w:r w:rsidRPr="0085202E">
        <w:rPr>
          <w:sz w:val="28"/>
          <w:szCs w:val="28"/>
        </w:rPr>
        <w:t xml:space="preserve"> сети радиосвязи дальнего радиуса действия - LPWAN. Технические решения, принятые стандартами сетей,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 xml:space="preserve">обеспечивают оптимизацию энергопотребления, радиуса действия и помехоустойчивость. </w:t>
      </w:r>
    </w:p>
    <w:p w14:paraId="26F8D42F" w14:textId="5A5C4F87" w:rsidR="008E73EE" w:rsidRPr="0085202E" w:rsidRDefault="000C1B50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Проведён</w:t>
      </w:r>
      <w:r w:rsidR="008E73EE" w:rsidRPr="0085202E">
        <w:rPr>
          <w:sz w:val="28"/>
          <w:szCs w:val="28"/>
        </w:rPr>
        <w:t xml:space="preserve"> анализ сетей связи построенных на принципах сотовой связи: LTE-M; NB-</w:t>
      </w:r>
      <w:proofErr w:type="spellStart"/>
      <w:r w:rsidR="008E73EE" w:rsidRPr="0085202E">
        <w:rPr>
          <w:sz w:val="28"/>
          <w:szCs w:val="28"/>
        </w:rPr>
        <w:t>IoT</w:t>
      </w:r>
      <w:proofErr w:type="spellEnd"/>
      <w:r w:rsidR="008E73EE" w:rsidRPr="0085202E">
        <w:rPr>
          <w:sz w:val="28"/>
          <w:szCs w:val="28"/>
        </w:rPr>
        <w:t>; EC-GSM-</w:t>
      </w:r>
      <w:proofErr w:type="spellStart"/>
      <w:r w:rsidR="008E73EE" w:rsidRPr="0085202E">
        <w:rPr>
          <w:sz w:val="28"/>
          <w:szCs w:val="28"/>
        </w:rPr>
        <w:t>IoT</w:t>
      </w:r>
      <w:proofErr w:type="spellEnd"/>
      <w:r w:rsidR="008E73EE" w:rsidRPr="0085202E">
        <w:rPr>
          <w:sz w:val="28"/>
          <w:szCs w:val="28"/>
        </w:rPr>
        <w:t xml:space="preserve">, а так же сетей на основе стандартов </w:t>
      </w:r>
      <w:proofErr w:type="spellStart"/>
      <w:r w:rsidR="008E73EE" w:rsidRPr="0085202E">
        <w:rPr>
          <w:sz w:val="28"/>
          <w:szCs w:val="28"/>
        </w:rPr>
        <w:t>LoRa</w:t>
      </w:r>
      <w:proofErr w:type="spellEnd"/>
      <w:r w:rsidR="008E73EE" w:rsidRPr="0085202E">
        <w:rPr>
          <w:sz w:val="28"/>
          <w:szCs w:val="28"/>
        </w:rPr>
        <w:t xml:space="preserve">; </w:t>
      </w:r>
      <w:proofErr w:type="spellStart"/>
      <w:r w:rsidR="008E73EE" w:rsidRPr="0085202E">
        <w:rPr>
          <w:sz w:val="28"/>
          <w:szCs w:val="28"/>
        </w:rPr>
        <w:t>Symphony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Link</w:t>
      </w:r>
      <w:proofErr w:type="spellEnd"/>
      <w:r w:rsidR="008E73EE" w:rsidRPr="0085202E">
        <w:rPr>
          <w:sz w:val="28"/>
          <w:szCs w:val="28"/>
        </w:rPr>
        <w:t xml:space="preserve">; </w:t>
      </w:r>
      <w:proofErr w:type="spellStart"/>
      <w:r w:rsidR="008E73EE" w:rsidRPr="0085202E">
        <w:rPr>
          <w:sz w:val="28"/>
          <w:szCs w:val="28"/>
        </w:rPr>
        <w:t>Sigfox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Ingenu</w:t>
      </w:r>
      <w:proofErr w:type="spellEnd"/>
      <w:r w:rsidR="008E73EE" w:rsidRPr="0085202E">
        <w:rPr>
          <w:sz w:val="28"/>
          <w:szCs w:val="28"/>
        </w:rPr>
        <w:t xml:space="preserve"> (RPMA); </w:t>
      </w:r>
      <w:proofErr w:type="spellStart"/>
      <w:r w:rsidR="008E73EE" w:rsidRPr="0085202E">
        <w:rPr>
          <w:sz w:val="28"/>
          <w:szCs w:val="28"/>
        </w:rPr>
        <w:t>Weightless</w:t>
      </w:r>
      <w:proofErr w:type="spellEnd"/>
      <w:r w:rsidR="008E73EE" w:rsidRPr="0085202E">
        <w:rPr>
          <w:sz w:val="28"/>
          <w:szCs w:val="28"/>
        </w:rPr>
        <w:t xml:space="preserve">; </w:t>
      </w:r>
      <w:proofErr w:type="spellStart"/>
      <w:r w:rsidR="008E73EE" w:rsidRPr="0085202E">
        <w:rPr>
          <w:sz w:val="28"/>
          <w:szCs w:val="28"/>
        </w:rPr>
        <w:t>Nwave</w:t>
      </w:r>
      <w:proofErr w:type="spellEnd"/>
      <w:r w:rsidR="008E73EE" w:rsidRPr="0085202E">
        <w:rPr>
          <w:sz w:val="28"/>
          <w:szCs w:val="28"/>
        </w:rPr>
        <w:t>.</w:t>
      </w:r>
    </w:p>
    <w:p w14:paraId="32F0E937" w14:textId="1A5789E9" w:rsidR="008E73EE" w:rsidRPr="0085202E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В ходе анализа установлено, что наиболее предпочтительным средством телеметрии для </w:t>
      </w:r>
      <w:proofErr w:type="spellStart"/>
      <w:r w:rsidRPr="0085202E">
        <w:rPr>
          <w:sz w:val="28"/>
          <w:szCs w:val="28"/>
          <w:lang w:val="en-US"/>
        </w:rPr>
        <w:t>IoT</w:t>
      </w:r>
      <w:proofErr w:type="spellEnd"/>
      <w:r w:rsidRPr="0085202E">
        <w:rPr>
          <w:sz w:val="28"/>
          <w:szCs w:val="28"/>
        </w:rPr>
        <w:t xml:space="preserve"> устройств на сегодняшний день является </w:t>
      </w:r>
      <w:r w:rsidR="008E73EE" w:rsidRPr="0085202E">
        <w:rPr>
          <w:sz w:val="28"/>
          <w:szCs w:val="28"/>
        </w:rPr>
        <w:t xml:space="preserve">использование стандарта </w:t>
      </w:r>
      <w:proofErr w:type="spellStart"/>
      <w:r w:rsidR="008E73EE" w:rsidRPr="0085202E">
        <w:rPr>
          <w:sz w:val="28"/>
          <w:szCs w:val="28"/>
        </w:rPr>
        <w:t>LoRa</w:t>
      </w:r>
      <w:proofErr w:type="spellEnd"/>
      <w:r w:rsidR="008E73EE" w:rsidRPr="0085202E">
        <w:rPr>
          <w:sz w:val="28"/>
          <w:szCs w:val="28"/>
        </w:rPr>
        <w:t xml:space="preserve"> как оптимального по скорости передачи, использованию спектра частот и доступности выбора аппаратных</w:t>
      </w:r>
      <w:r w:rsidRPr="0085202E">
        <w:rPr>
          <w:sz w:val="28"/>
          <w:szCs w:val="28"/>
        </w:rPr>
        <w:t xml:space="preserve"> средств реализации радиолинии.</w:t>
      </w:r>
    </w:p>
    <w:p w14:paraId="04253588" w14:textId="77777777" w:rsidR="000C1B50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является самым универсальным из </w:t>
      </w:r>
      <w:proofErr w:type="spellStart"/>
      <w:r w:rsidRPr="0085202E">
        <w:rPr>
          <w:sz w:val="28"/>
          <w:szCs w:val="28"/>
        </w:rPr>
        <w:t>несотовых</w:t>
      </w:r>
      <w:proofErr w:type="spellEnd"/>
      <w:r w:rsidRPr="0085202E">
        <w:rPr>
          <w:sz w:val="28"/>
          <w:szCs w:val="28"/>
        </w:rPr>
        <w:t xml:space="preserve"> стандартов LPWAN. Этот стандарт поддерживается консорциумом </w:t>
      </w:r>
      <w:proofErr w:type="gramStart"/>
      <w:r w:rsidRPr="0085202E">
        <w:rPr>
          <w:sz w:val="28"/>
          <w:szCs w:val="28"/>
        </w:rPr>
        <w:t>из</w:t>
      </w:r>
      <w:proofErr w:type="gramEnd"/>
      <w:r w:rsidRPr="0085202E">
        <w:rPr>
          <w:sz w:val="28"/>
          <w:szCs w:val="28"/>
        </w:rPr>
        <w:t xml:space="preserve"> более </w:t>
      </w:r>
      <w:proofErr w:type="gramStart"/>
      <w:r w:rsidRPr="0085202E">
        <w:rPr>
          <w:sz w:val="28"/>
          <w:szCs w:val="28"/>
        </w:rPr>
        <w:t>чем</w:t>
      </w:r>
      <w:proofErr w:type="gramEnd"/>
      <w:r w:rsidRPr="0085202E">
        <w:rPr>
          <w:sz w:val="28"/>
          <w:szCs w:val="28"/>
        </w:rPr>
        <w:t xml:space="preserve"> 500 компаний, включая </w:t>
      </w:r>
      <w:proofErr w:type="spellStart"/>
      <w:r w:rsidRPr="0085202E">
        <w:rPr>
          <w:sz w:val="28"/>
          <w:szCs w:val="28"/>
        </w:rPr>
        <w:t>Cisco</w:t>
      </w:r>
      <w:proofErr w:type="spellEnd"/>
      <w:r w:rsidRPr="0085202E">
        <w:rPr>
          <w:sz w:val="28"/>
          <w:szCs w:val="28"/>
        </w:rPr>
        <w:t xml:space="preserve">, IBM, SK </w:t>
      </w:r>
      <w:proofErr w:type="spellStart"/>
      <w:r w:rsidRPr="0085202E">
        <w:rPr>
          <w:sz w:val="28"/>
          <w:szCs w:val="28"/>
        </w:rPr>
        <w:t>Telecom</w:t>
      </w:r>
      <w:proofErr w:type="spellEnd"/>
      <w:r w:rsidRPr="0085202E">
        <w:rPr>
          <w:sz w:val="28"/>
          <w:szCs w:val="28"/>
        </w:rPr>
        <w:t xml:space="preserve"> и др.</w:t>
      </w:r>
      <w:r w:rsidR="000C1B50"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что означает широкую гамму выпускаемой аппаратной части, а так же непрерывное развитие. </w:t>
      </w:r>
    </w:p>
    <w:p w14:paraId="263471BD" w14:textId="77777777" w:rsidR="000C1B50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относится к физическому уровню PHY радиосетей, эта технология принадлежит компании </w:t>
      </w:r>
      <w:proofErr w:type="spellStart"/>
      <w:r w:rsidRPr="0085202E">
        <w:rPr>
          <w:sz w:val="28"/>
          <w:szCs w:val="28"/>
        </w:rPr>
        <w:t>Semtech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Corporation</w:t>
      </w:r>
      <w:proofErr w:type="spellEnd"/>
      <w:r w:rsidRPr="0085202E">
        <w:rPr>
          <w:sz w:val="28"/>
          <w:szCs w:val="28"/>
        </w:rPr>
        <w:t xml:space="preserve">, </w:t>
      </w:r>
      <w:proofErr w:type="spellStart"/>
      <w:r w:rsidRPr="0085202E">
        <w:rPr>
          <w:sz w:val="28"/>
          <w:szCs w:val="28"/>
        </w:rPr>
        <w:t>LoRaWAN</w:t>
      </w:r>
      <w:proofErr w:type="spellEnd"/>
      <w:r w:rsidRPr="0085202E">
        <w:rPr>
          <w:sz w:val="28"/>
          <w:szCs w:val="28"/>
        </w:rPr>
        <w:t xml:space="preserve"> относится к подуровню управления доступом к среде (MAC) и развивается консорциумом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Alliance</w:t>
      </w:r>
      <w:proofErr w:type="spellEnd"/>
      <w:r w:rsidRPr="0085202E">
        <w:rPr>
          <w:sz w:val="28"/>
          <w:szCs w:val="28"/>
        </w:rPr>
        <w:t xml:space="preserve">.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является </w:t>
      </w:r>
      <w:proofErr w:type="spellStart"/>
      <w:r w:rsidRPr="0085202E">
        <w:rPr>
          <w:sz w:val="28"/>
          <w:szCs w:val="28"/>
        </w:rPr>
        <w:t>проприетарной</w:t>
      </w:r>
      <w:proofErr w:type="spellEnd"/>
      <w:r w:rsidRPr="0085202E">
        <w:rPr>
          <w:sz w:val="28"/>
          <w:szCs w:val="28"/>
        </w:rPr>
        <w:t xml:space="preserve"> технологией, и компания </w:t>
      </w:r>
      <w:proofErr w:type="spellStart"/>
      <w:r w:rsidRPr="0085202E">
        <w:rPr>
          <w:sz w:val="28"/>
          <w:szCs w:val="28"/>
        </w:rPr>
        <w:t>Semtech</w:t>
      </w:r>
      <w:proofErr w:type="spellEnd"/>
      <w:r w:rsidRPr="0085202E">
        <w:rPr>
          <w:sz w:val="28"/>
          <w:szCs w:val="28"/>
        </w:rPr>
        <w:t xml:space="preserve">. В отличие от стандарта </w:t>
      </w:r>
      <w:proofErr w:type="spellStart"/>
      <w:r w:rsidRPr="0085202E">
        <w:rPr>
          <w:sz w:val="28"/>
          <w:szCs w:val="28"/>
        </w:rPr>
        <w:t>Sigfox</w:t>
      </w:r>
      <w:proofErr w:type="spellEnd"/>
      <w:r w:rsidRPr="0085202E">
        <w:rPr>
          <w:sz w:val="28"/>
          <w:szCs w:val="28"/>
        </w:rPr>
        <w:t>,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 xml:space="preserve">полезную ёмкость сообщения стандарта </w:t>
      </w:r>
      <w:proofErr w:type="spellStart"/>
      <w:r w:rsidRPr="0085202E">
        <w:rPr>
          <w:sz w:val="28"/>
          <w:szCs w:val="28"/>
        </w:rPr>
        <w:t>LoRaWAN</w:t>
      </w:r>
      <w:proofErr w:type="spellEnd"/>
      <w:r w:rsidRPr="0085202E">
        <w:rPr>
          <w:sz w:val="28"/>
          <w:szCs w:val="28"/>
        </w:rPr>
        <w:t xml:space="preserve"> 256 байт, что подходит для широкого круга применения. </w:t>
      </w:r>
    </w:p>
    <w:p w14:paraId="16A7A9AE" w14:textId="77777777" w:rsidR="000C1B50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Метод основывается на технологии модуляции с расширенным спектром и вариации линейной частотной модуляции (</w:t>
      </w:r>
      <w:proofErr w:type="spellStart"/>
      <w:r w:rsidRPr="0085202E">
        <w:rPr>
          <w:sz w:val="28"/>
          <w:szCs w:val="28"/>
        </w:rPr>
        <w:t>Chirp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Spread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Spectrum</w:t>
      </w:r>
      <w:proofErr w:type="spellEnd"/>
      <w:r w:rsidRPr="0085202E">
        <w:rPr>
          <w:sz w:val="28"/>
          <w:szCs w:val="28"/>
        </w:rPr>
        <w:t>, CSS) с интегрированной прямой коррекцией ошибок (</w:t>
      </w:r>
      <w:proofErr w:type="spellStart"/>
      <w:r w:rsidRPr="0085202E">
        <w:rPr>
          <w:sz w:val="28"/>
          <w:szCs w:val="28"/>
        </w:rPr>
        <w:t>Forward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Error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Correction</w:t>
      </w:r>
      <w:proofErr w:type="spellEnd"/>
      <w:r w:rsidRPr="0085202E">
        <w:rPr>
          <w:sz w:val="28"/>
          <w:szCs w:val="28"/>
        </w:rPr>
        <w:t xml:space="preserve">, FEC). </w:t>
      </w:r>
    </w:p>
    <w:p w14:paraId="657F28C6" w14:textId="77777777" w:rsidR="000C1B50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Технология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значительно повышает чувствительность </w:t>
      </w:r>
      <w:proofErr w:type="spellStart"/>
      <w:r w:rsidRPr="0085202E">
        <w:rPr>
          <w:sz w:val="28"/>
          <w:szCs w:val="28"/>
        </w:rPr>
        <w:t>приемника</w:t>
      </w:r>
      <w:proofErr w:type="spellEnd"/>
      <w:r w:rsidRPr="0085202E">
        <w:rPr>
          <w:sz w:val="28"/>
          <w:szCs w:val="28"/>
        </w:rPr>
        <w:t xml:space="preserve"> и, аналогично другим методам модуляции с расширенным спектром, </w:t>
      </w:r>
      <w:r w:rsidRPr="0085202E">
        <w:rPr>
          <w:sz w:val="28"/>
          <w:szCs w:val="28"/>
        </w:rPr>
        <w:lastRenderedPageBreak/>
        <w:t xml:space="preserve">использует всю ширину полосы пропускания канала для передачи сигнала, что делает его устойчивым к канальным шумам и нечувствительным к смещениям, вызванным неточностями в настройке частот при использовании недорогих опорных кварцевых резонаторов. </w:t>
      </w:r>
    </w:p>
    <w:p w14:paraId="2B5280CB" w14:textId="5A4C3062" w:rsidR="0085202E" w:rsidRPr="0085202E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Технология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позволяет осуществлять демодуляцию сигналов с уровнями на 19,5 дБ ниже уровня шумов, </w:t>
      </w:r>
      <w:proofErr w:type="gramStart"/>
      <w:r w:rsidRPr="0085202E">
        <w:rPr>
          <w:sz w:val="28"/>
          <w:szCs w:val="28"/>
        </w:rPr>
        <w:t>притом</w:t>
      </w:r>
      <w:proofErr w:type="gramEnd"/>
      <w:r w:rsidRPr="0085202E">
        <w:rPr>
          <w:sz w:val="28"/>
          <w:szCs w:val="28"/>
        </w:rPr>
        <w:t xml:space="preserve"> что для правильной демодуляции большинству систем с частотной манипуляцией (</w:t>
      </w:r>
      <w:proofErr w:type="spellStart"/>
      <w:r w:rsidRPr="0085202E">
        <w:rPr>
          <w:sz w:val="28"/>
          <w:szCs w:val="28"/>
        </w:rPr>
        <w:t>Frequency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Shift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Keying</w:t>
      </w:r>
      <w:proofErr w:type="spellEnd"/>
      <w:r w:rsidRPr="0085202E">
        <w:rPr>
          <w:sz w:val="28"/>
          <w:szCs w:val="28"/>
        </w:rPr>
        <w:t xml:space="preserve">, FSK) нужна мощность сигнала как минимум на 8-10 дБ выше уровня шума. Модуляция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определяет тот физический уровень</w:t>
      </w:r>
      <w:proofErr w:type="gramStart"/>
      <w:r w:rsidRPr="0085202E">
        <w:rPr>
          <w:sz w:val="28"/>
          <w:szCs w:val="28"/>
        </w:rPr>
        <w:t>1</w:t>
      </w:r>
      <w:proofErr w:type="gramEnd"/>
      <w:r w:rsidRPr="0085202E">
        <w:rPr>
          <w:sz w:val="28"/>
          <w:szCs w:val="28"/>
        </w:rPr>
        <w:t xml:space="preserve"> (</w:t>
      </w:r>
      <w:proofErr w:type="spellStart"/>
      <w:r w:rsidRPr="0085202E">
        <w:rPr>
          <w:sz w:val="28"/>
          <w:szCs w:val="28"/>
        </w:rPr>
        <w:t>Physical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Layer</w:t>
      </w:r>
      <w:proofErr w:type="spellEnd"/>
      <w:r w:rsidRPr="0085202E">
        <w:rPr>
          <w:sz w:val="28"/>
          <w:szCs w:val="28"/>
        </w:rPr>
        <w:t>, PHY, иногда его называют слой), который может быть использован с различными протоколами и в различных вариантах сетевой архитектуры, таких как сетка (</w:t>
      </w:r>
      <w:proofErr w:type="spellStart"/>
      <w:r w:rsidRPr="0085202E">
        <w:rPr>
          <w:sz w:val="28"/>
          <w:szCs w:val="28"/>
        </w:rPr>
        <w:t>Mesh</w:t>
      </w:r>
      <w:proofErr w:type="spellEnd"/>
      <w:r w:rsidRPr="0085202E">
        <w:rPr>
          <w:sz w:val="28"/>
          <w:szCs w:val="28"/>
        </w:rPr>
        <w:t>), звезда (</w:t>
      </w:r>
      <w:proofErr w:type="spellStart"/>
      <w:r w:rsidRPr="0085202E">
        <w:rPr>
          <w:sz w:val="28"/>
          <w:szCs w:val="28"/>
        </w:rPr>
        <w:t>Star</w:t>
      </w:r>
      <w:proofErr w:type="spellEnd"/>
      <w:r w:rsidRPr="0085202E">
        <w:rPr>
          <w:sz w:val="28"/>
          <w:szCs w:val="28"/>
        </w:rPr>
        <w:t>), точка-к‑точке (</w:t>
      </w:r>
      <w:proofErr w:type="spellStart"/>
      <w:r w:rsidRPr="0085202E">
        <w:rPr>
          <w:sz w:val="28"/>
          <w:szCs w:val="28"/>
        </w:rPr>
        <w:t>point-to-point</w:t>
      </w:r>
      <w:proofErr w:type="spellEnd"/>
      <w:r w:rsidRPr="0085202E">
        <w:rPr>
          <w:sz w:val="28"/>
          <w:szCs w:val="28"/>
        </w:rPr>
        <w:t>).</w:t>
      </w:r>
    </w:p>
    <w:p w14:paraId="08E7D8FC" w14:textId="5F676219" w:rsidR="008E73E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Проведен</w:t>
      </w:r>
      <w:proofErr w:type="spellEnd"/>
      <w:r w:rsidRPr="0085202E">
        <w:rPr>
          <w:sz w:val="28"/>
          <w:szCs w:val="28"/>
        </w:rPr>
        <w:t xml:space="preserve"> сравнительный анализ доступ</w:t>
      </w:r>
      <w:r w:rsidR="0085202E" w:rsidRPr="0085202E">
        <w:rPr>
          <w:sz w:val="28"/>
          <w:szCs w:val="28"/>
        </w:rPr>
        <w:t>ных аппаратных платформ для реа</w:t>
      </w:r>
      <w:r w:rsidRPr="0085202E">
        <w:rPr>
          <w:sz w:val="28"/>
          <w:szCs w:val="28"/>
        </w:rPr>
        <w:t xml:space="preserve">лизации радиолинии передачи информации с использованием широкого спектра частот и низкой мощности. Рассмотрены БИС для беспроводных </w:t>
      </w:r>
      <w:proofErr w:type="spellStart"/>
      <w:r w:rsidRPr="0085202E">
        <w:rPr>
          <w:sz w:val="28"/>
          <w:szCs w:val="28"/>
        </w:rPr>
        <w:t>приемопередающих</w:t>
      </w:r>
      <w:proofErr w:type="spellEnd"/>
      <w:r w:rsidRPr="0085202E">
        <w:rPr>
          <w:sz w:val="28"/>
          <w:szCs w:val="28"/>
        </w:rPr>
        <w:t xml:space="preserve"> систем, доступные на рынке полупроводниковых приборов, которые производят фирмы «</w:t>
      </w:r>
      <w:proofErr w:type="spellStart"/>
      <w:r w:rsidRPr="0085202E">
        <w:rPr>
          <w:sz w:val="28"/>
          <w:szCs w:val="28"/>
        </w:rPr>
        <w:t>Analog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Device</w:t>
      </w:r>
      <w:proofErr w:type="spellEnd"/>
      <w:r w:rsidRPr="0085202E">
        <w:rPr>
          <w:sz w:val="28"/>
          <w:szCs w:val="28"/>
        </w:rPr>
        <w:t>»,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>«</w:t>
      </w:r>
      <w:proofErr w:type="spellStart"/>
      <w:r w:rsidRPr="0085202E">
        <w:rPr>
          <w:sz w:val="28"/>
          <w:szCs w:val="28"/>
        </w:rPr>
        <w:t>Granansen</w:t>
      </w:r>
      <w:proofErr w:type="spellEnd"/>
      <w:r w:rsidRPr="0085202E">
        <w:rPr>
          <w:sz w:val="28"/>
          <w:szCs w:val="28"/>
        </w:rPr>
        <w:t xml:space="preserve"> AS», «</w:t>
      </w:r>
      <w:proofErr w:type="spellStart"/>
      <w:r w:rsidRPr="0085202E">
        <w:rPr>
          <w:sz w:val="28"/>
          <w:szCs w:val="28"/>
        </w:rPr>
        <w:t>Honeywell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Infineon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Technologies</w:t>
      </w:r>
      <w:proofErr w:type="spellEnd"/>
      <w:r w:rsidRPr="0085202E">
        <w:rPr>
          <w:sz w:val="28"/>
          <w:szCs w:val="28"/>
        </w:rPr>
        <w:t xml:space="preserve"> AG», «</w:t>
      </w:r>
      <w:proofErr w:type="spellStart"/>
      <w:r w:rsidRPr="0085202E">
        <w:rPr>
          <w:sz w:val="28"/>
          <w:szCs w:val="28"/>
        </w:rPr>
        <w:t>Inova</w:t>
      </w:r>
      <w:proofErr w:type="spellEnd"/>
      <w:r w:rsidRPr="0085202E">
        <w:rPr>
          <w:sz w:val="28"/>
          <w:szCs w:val="28"/>
        </w:rPr>
        <w:t>», «</w:t>
      </w:r>
      <w:proofErr w:type="spellStart"/>
      <w:r w:rsidRPr="0085202E">
        <w:rPr>
          <w:sz w:val="28"/>
          <w:szCs w:val="28"/>
        </w:rPr>
        <w:t>Maxim</w:t>
      </w:r>
      <w:proofErr w:type="spellEnd"/>
      <w:r w:rsidRPr="0085202E">
        <w:rPr>
          <w:sz w:val="28"/>
          <w:szCs w:val="28"/>
        </w:rPr>
        <w:t>», «</w:t>
      </w:r>
      <w:proofErr w:type="spellStart"/>
      <w:r w:rsidRPr="0085202E">
        <w:rPr>
          <w:sz w:val="28"/>
          <w:szCs w:val="28"/>
        </w:rPr>
        <w:t>Microchip</w:t>
      </w:r>
      <w:proofErr w:type="spellEnd"/>
      <w:r w:rsidRPr="0085202E">
        <w:rPr>
          <w:sz w:val="28"/>
          <w:szCs w:val="28"/>
        </w:rPr>
        <w:t xml:space="preserve">», «NEC </w:t>
      </w:r>
      <w:proofErr w:type="spellStart"/>
      <w:r w:rsidRPr="0085202E">
        <w:rPr>
          <w:sz w:val="28"/>
          <w:szCs w:val="28"/>
        </w:rPr>
        <w:t>Electronics</w:t>
      </w:r>
      <w:proofErr w:type="spellEnd"/>
      <w:r w:rsidRPr="0085202E">
        <w:rPr>
          <w:sz w:val="28"/>
          <w:szCs w:val="28"/>
        </w:rPr>
        <w:t xml:space="preserve">», «RF </w:t>
      </w:r>
      <w:proofErr w:type="spellStart"/>
      <w:r w:rsidRPr="0085202E">
        <w:rPr>
          <w:sz w:val="28"/>
          <w:szCs w:val="28"/>
        </w:rPr>
        <w:t>Monolithics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Inc</w:t>
      </w:r>
      <w:proofErr w:type="spellEnd"/>
      <w:r w:rsidRPr="0085202E">
        <w:rPr>
          <w:sz w:val="28"/>
          <w:szCs w:val="28"/>
        </w:rPr>
        <w:t>.», «</w:t>
      </w:r>
      <w:proofErr w:type="spellStart"/>
      <w:r w:rsidRPr="0085202E">
        <w:rPr>
          <w:sz w:val="28"/>
          <w:szCs w:val="28"/>
        </w:rPr>
        <w:t>Semtech</w:t>
      </w:r>
      <w:proofErr w:type="spellEnd"/>
      <w:r w:rsidRPr="0085202E">
        <w:rPr>
          <w:sz w:val="28"/>
          <w:szCs w:val="28"/>
        </w:rPr>
        <w:t>», «</w:t>
      </w:r>
      <w:proofErr w:type="spellStart"/>
      <w:r w:rsidRPr="0085202E">
        <w:rPr>
          <w:sz w:val="28"/>
          <w:szCs w:val="28"/>
        </w:rPr>
        <w:t>STMicroelectronics</w:t>
      </w:r>
      <w:proofErr w:type="spellEnd"/>
      <w:r w:rsidRPr="0085202E">
        <w:rPr>
          <w:sz w:val="28"/>
          <w:szCs w:val="28"/>
        </w:rPr>
        <w:t>», «</w:t>
      </w:r>
      <w:proofErr w:type="spellStart"/>
      <w:r w:rsidRPr="0085202E">
        <w:rPr>
          <w:sz w:val="28"/>
          <w:szCs w:val="28"/>
        </w:rPr>
        <w:t>Texas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Instruments</w:t>
      </w:r>
      <w:proofErr w:type="spellEnd"/>
      <w:r w:rsidRPr="0085202E">
        <w:rPr>
          <w:sz w:val="28"/>
          <w:szCs w:val="28"/>
        </w:rPr>
        <w:t>», «</w:t>
      </w:r>
      <w:proofErr w:type="spellStart"/>
      <w:r w:rsidRPr="0085202E">
        <w:rPr>
          <w:sz w:val="28"/>
          <w:szCs w:val="28"/>
        </w:rPr>
        <w:t>Xemics</w:t>
      </w:r>
      <w:proofErr w:type="spellEnd"/>
      <w:r w:rsidRPr="0085202E">
        <w:rPr>
          <w:sz w:val="28"/>
          <w:szCs w:val="28"/>
        </w:rPr>
        <w:t>»</w:t>
      </w:r>
      <w:r w:rsidR="0085202E" w:rsidRPr="0085202E">
        <w:rPr>
          <w:sz w:val="28"/>
          <w:szCs w:val="28"/>
        </w:rPr>
        <w:t>.</w:t>
      </w:r>
    </w:p>
    <w:p w14:paraId="0B64C249" w14:textId="75B90289" w:rsidR="0085202E" w:rsidRPr="0085202E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В ходе анализа с</w:t>
      </w:r>
      <w:r w:rsidR="008E73EE" w:rsidRPr="0085202E">
        <w:rPr>
          <w:sz w:val="28"/>
          <w:szCs w:val="28"/>
        </w:rPr>
        <w:t>делан вывод о том, что наиболее перспект</w:t>
      </w:r>
      <w:r w:rsidRPr="0085202E">
        <w:rPr>
          <w:sz w:val="28"/>
          <w:szCs w:val="28"/>
        </w:rPr>
        <w:t>ивные БИС, построенные с исполь</w:t>
      </w:r>
      <w:r w:rsidR="008E73EE" w:rsidRPr="0085202E">
        <w:rPr>
          <w:sz w:val="28"/>
          <w:szCs w:val="28"/>
        </w:rPr>
        <w:t>зованием гибридных технологий и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имеющие в </w:t>
      </w:r>
      <w:proofErr w:type="spellStart"/>
      <w:r w:rsidR="008E73EE" w:rsidRPr="0085202E">
        <w:rPr>
          <w:sz w:val="28"/>
          <w:szCs w:val="28"/>
        </w:rPr>
        <w:t>своем</w:t>
      </w:r>
      <w:proofErr w:type="spellEnd"/>
      <w:r w:rsidR="008E73EE" w:rsidRPr="0085202E">
        <w:rPr>
          <w:sz w:val="28"/>
          <w:szCs w:val="28"/>
        </w:rPr>
        <w:t xml:space="preserve"> составе модем, это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микросхемы – </w:t>
      </w:r>
      <w:r w:rsidRPr="0085202E">
        <w:rPr>
          <w:sz w:val="28"/>
          <w:szCs w:val="28"/>
        </w:rPr>
        <w:t>приёмопередатчики</w:t>
      </w:r>
      <w:r w:rsidR="008E73EE" w:rsidRPr="0085202E">
        <w:rPr>
          <w:sz w:val="28"/>
          <w:szCs w:val="28"/>
        </w:rPr>
        <w:t xml:space="preserve"> компании «</w:t>
      </w:r>
      <w:proofErr w:type="spellStart"/>
      <w:r w:rsidR="008E73EE" w:rsidRPr="0085202E">
        <w:rPr>
          <w:sz w:val="28"/>
          <w:szCs w:val="28"/>
        </w:rPr>
        <w:t>Semtech</w:t>
      </w:r>
      <w:proofErr w:type="spellEnd"/>
      <w:r w:rsidR="008E73EE" w:rsidRPr="0085202E">
        <w:rPr>
          <w:sz w:val="28"/>
          <w:szCs w:val="28"/>
        </w:rPr>
        <w:t>» и их аналоги.</w:t>
      </w:r>
      <w:r w:rsidR="000C1B50">
        <w:rPr>
          <w:sz w:val="28"/>
          <w:szCs w:val="28"/>
        </w:rPr>
        <w:t xml:space="preserve"> </w:t>
      </w:r>
    </w:p>
    <w:p w14:paraId="417BF937" w14:textId="0CE76410" w:rsidR="008E73E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Эти БИС имеют большую базу данных программного обеспечения с открытым кодом для разработки приложений. Диапазон рабочих частот включает </w:t>
      </w:r>
      <w:r w:rsidR="0085202E" w:rsidRPr="0085202E">
        <w:rPr>
          <w:sz w:val="28"/>
          <w:szCs w:val="28"/>
        </w:rPr>
        <w:t>частоты</w:t>
      </w:r>
      <w:r w:rsidRPr="0085202E">
        <w:rPr>
          <w:sz w:val="28"/>
          <w:szCs w:val="28"/>
        </w:rPr>
        <w:t xml:space="preserve"> 137 – 175 МГц, 410 – 525 МГц, 862 – 1020 МГц. Имеется возможность выбора видов модуляции и кодовых конструкций. Используются стандартные виды последовательных интерфейсов. </w:t>
      </w:r>
    </w:p>
    <w:p w14:paraId="4C147943" w14:textId="7357B401" w:rsidR="0085202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Альтернативным решением может быть использование БИС фирмы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 xml:space="preserve"> «</w:t>
      </w:r>
      <w:proofErr w:type="spellStart"/>
      <w:r w:rsidRPr="0085202E">
        <w:rPr>
          <w:sz w:val="28"/>
          <w:szCs w:val="28"/>
        </w:rPr>
        <w:t>Analog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Device</w:t>
      </w:r>
      <w:proofErr w:type="spellEnd"/>
      <w:r w:rsidRPr="0085202E">
        <w:rPr>
          <w:sz w:val="28"/>
          <w:szCs w:val="28"/>
        </w:rPr>
        <w:t xml:space="preserve">», однако они используют безлицензионные частоты в узком диапазоне ISM и имеют меньшую чувствительность </w:t>
      </w:r>
      <w:r w:rsidR="0085202E" w:rsidRPr="0085202E">
        <w:rPr>
          <w:sz w:val="28"/>
          <w:szCs w:val="28"/>
        </w:rPr>
        <w:t>приёмной</w:t>
      </w:r>
      <w:r w:rsidRPr="0085202E">
        <w:rPr>
          <w:sz w:val="28"/>
          <w:szCs w:val="28"/>
        </w:rPr>
        <w:t xml:space="preserve"> части при использовании модуляций FSK. Кроме того, выходная мощность передающей</w:t>
      </w:r>
      <w:r w:rsidR="0085202E" w:rsidRPr="0085202E">
        <w:rPr>
          <w:sz w:val="28"/>
          <w:szCs w:val="28"/>
        </w:rPr>
        <w:t xml:space="preserve"> части требует использования до</w:t>
      </w:r>
      <w:r w:rsidRPr="0085202E">
        <w:rPr>
          <w:sz w:val="28"/>
          <w:szCs w:val="28"/>
        </w:rPr>
        <w:t>полнительных усилительных структур для удовлет</w:t>
      </w:r>
      <w:r w:rsidR="0085202E" w:rsidRPr="0085202E">
        <w:rPr>
          <w:sz w:val="28"/>
          <w:szCs w:val="28"/>
        </w:rPr>
        <w:t>ворения энергетических потребно</w:t>
      </w:r>
      <w:r w:rsidRPr="0085202E">
        <w:rPr>
          <w:sz w:val="28"/>
          <w:szCs w:val="28"/>
        </w:rPr>
        <w:t xml:space="preserve">стей радиолинии </w:t>
      </w:r>
    </w:p>
    <w:p w14:paraId="16968F07" w14:textId="6706726D" w:rsidR="008E73EE" w:rsidRDefault="008E73EE" w:rsidP="000C1B5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Для подтверждения полученных в ходе исследования результатов проведено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>макетирование радиолинии с использованием необходимых наборов БИС, средств кодирования речи (вокодеров) и преобразования данных.</w:t>
      </w:r>
    </w:p>
    <w:p w14:paraId="05361D31" w14:textId="69B203CD" w:rsidR="000C1B50" w:rsidRPr="000C1B50" w:rsidRDefault="000C1B50" w:rsidP="000C1B5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0C1B50">
        <w:rPr>
          <w:sz w:val="28"/>
          <w:szCs w:val="28"/>
        </w:rPr>
        <w:t xml:space="preserve">Экспериментальные радиолинии испытаны </w:t>
      </w:r>
      <w:r w:rsidR="00BF54AF">
        <w:rPr>
          <w:sz w:val="28"/>
          <w:szCs w:val="28"/>
        </w:rPr>
        <w:t xml:space="preserve">на БИС </w:t>
      </w:r>
      <w:r w:rsidR="00BF54AF" w:rsidRPr="00BF54AF">
        <w:rPr>
          <w:sz w:val="28"/>
          <w:szCs w:val="28"/>
        </w:rPr>
        <w:t>SX1276</w:t>
      </w:r>
      <w:r w:rsidR="00BF54AF"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>с параметрами, определёнными расчётным путём</w:t>
      </w:r>
      <w:r>
        <w:rPr>
          <w:sz w:val="28"/>
          <w:szCs w:val="28"/>
        </w:rPr>
        <w:t>,</w:t>
      </w:r>
      <w:r w:rsidRPr="000C1B50">
        <w:rPr>
          <w:sz w:val="28"/>
          <w:szCs w:val="28"/>
        </w:rPr>
        <w:t xml:space="preserve"> с использованием рекомендаций производителя «</w:t>
      </w:r>
      <w:proofErr w:type="spellStart"/>
      <w:r w:rsidRPr="000C1B50">
        <w:rPr>
          <w:sz w:val="28"/>
          <w:szCs w:val="28"/>
        </w:rPr>
        <w:t>Semtech</w:t>
      </w:r>
      <w:proofErr w:type="spellEnd"/>
      <w:r w:rsidRPr="000C1B5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>для оптимальных значений выходной мощности, вида модуляции, ширины полосы пропускания</w:t>
      </w:r>
      <w:r>
        <w:rPr>
          <w:sz w:val="28"/>
          <w:szCs w:val="28"/>
        </w:rPr>
        <w:t xml:space="preserve"> и</w:t>
      </w:r>
      <w:r w:rsidRPr="000C1B50">
        <w:rPr>
          <w:sz w:val="28"/>
          <w:szCs w:val="28"/>
        </w:rPr>
        <w:t xml:space="preserve"> скорости передачи данных (Таблица </w:t>
      </w:r>
      <w:r>
        <w:rPr>
          <w:sz w:val="28"/>
          <w:szCs w:val="28"/>
        </w:rPr>
        <w:t>1</w:t>
      </w:r>
      <w:r w:rsidRPr="000C1B50">
        <w:rPr>
          <w:sz w:val="28"/>
          <w:szCs w:val="28"/>
        </w:rPr>
        <w:t xml:space="preserve">). </w:t>
      </w:r>
    </w:p>
    <w:p w14:paraId="080A9E05" w14:textId="242ECA3E" w:rsidR="000C1B50" w:rsidRPr="000C1B50" w:rsidRDefault="000C1B50" w:rsidP="000C1B50">
      <w:pPr>
        <w:pStyle w:val="a5"/>
        <w:jc w:val="center"/>
        <w:rPr>
          <w:sz w:val="28"/>
          <w:szCs w:val="28"/>
        </w:rPr>
      </w:pPr>
      <w:r w:rsidRPr="000C1B50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 xml:space="preserve">1 – </w:t>
      </w:r>
      <w:r w:rsidRPr="000C1B50">
        <w:rPr>
          <w:sz w:val="28"/>
          <w:szCs w:val="28"/>
        </w:rPr>
        <w:t>Расчётные параметры экспериментальной радиолинии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 xml:space="preserve">52 – </w:t>
            </w:r>
            <w:proofErr w:type="gramStart"/>
            <w:r w:rsidRPr="000C1B50">
              <w:t>зарезервирован</w:t>
            </w:r>
            <w:proofErr w:type="gramEnd"/>
            <w:r w:rsidRPr="000C1B50">
              <w:t xml:space="preserve">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3B0F8779" w14:textId="3F025AF8" w:rsidR="000C1B50" w:rsidRPr="000C1B50" w:rsidRDefault="000C1B50" w:rsidP="000C1B5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0C1B50">
        <w:rPr>
          <w:sz w:val="28"/>
          <w:szCs w:val="28"/>
        </w:rPr>
        <w:t xml:space="preserve">Научно технический уровень </w:t>
      </w:r>
      <w:r w:rsidR="00CD3E8B" w:rsidRPr="000C1B50">
        <w:rPr>
          <w:sz w:val="28"/>
          <w:szCs w:val="28"/>
        </w:rPr>
        <w:t>проведённой</w:t>
      </w:r>
      <w:r w:rsidRPr="000C1B50">
        <w:rPr>
          <w:sz w:val="28"/>
          <w:szCs w:val="28"/>
        </w:rPr>
        <w:t xml:space="preserve"> работы позволяет использовать модель исследования для дальнейше</w:t>
      </w:r>
      <w:r w:rsidR="00CD3E8B">
        <w:rPr>
          <w:sz w:val="28"/>
          <w:szCs w:val="28"/>
        </w:rPr>
        <w:t>й разработки</w:t>
      </w:r>
      <w:r w:rsidRPr="000C1B50">
        <w:rPr>
          <w:sz w:val="28"/>
          <w:szCs w:val="28"/>
        </w:rPr>
        <w:t xml:space="preserve"> </w:t>
      </w:r>
      <w:r w:rsidR="00CD3E8B" w:rsidRPr="00CD3E8B">
        <w:rPr>
          <w:sz w:val="28"/>
          <w:szCs w:val="28"/>
        </w:rPr>
        <w:t xml:space="preserve">средств телеметрии для </w:t>
      </w:r>
      <w:proofErr w:type="spellStart"/>
      <w:r w:rsidR="00CD3E8B" w:rsidRPr="00CD3E8B">
        <w:rPr>
          <w:sz w:val="28"/>
          <w:szCs w:val="28"/>
          <w:lang w:val="en-US"/>
        </w:rPr>
        <w:t>IoT</w:t>
      </w:r>
      <w:proofErr w:type="spellEnd"/>
      <w:r w:rsidR="00CD3E8B" w:rsidRPr="00CD3E8B">
        <w:rPr>
          <w:sz w:val="28"/>
          <w:szCs w:val="28"/>
        </w:rPr>
        <w:t xml:space="preserve"> устройств</w:t>
      </w:r>
      <w:r w:rsidRPr="000C1B50">
        <w:rPr>
          <w:sz w:val="28"/>
          <w:szCs w:val="28"/>
        </w:rPr>
        <w:t>.</w:t>
      </w:r>
    </w:p>
    <w:p w14:paraId="5DCCFAF5" w14:textId="77777777" w:rsidR="000C1B50" w:rsidRPr="000E2CB3" w:rsidRDefault="000C1B50" w:rsidP="000C1B50">
      <w:pPr>
        <w:pStyle w:val="a5"/>
        <w:spacing w:before="0" w:beforeAutospacing="0" w:after="0"/>
        <w:ind w:firstLine="709"/>
        <w:jc w:val="both"/>
        <w:rPr>
          <w:szCs w:val="28"/>
        </w:rPr>
      </w:pPr>
    </w:p>
    <w:p w14:paraId="1BC46638" w14:textId="6F57837F" w:rsidR="000C1B50" w:rsidRPr="000E2CB3" w:rsidRDefault="000C1B50" w:rsidP="00CD3E8B">
      <w:pPr>
        <w:pStyle w:val="a5"/>
        <w:spacing w:before="0" w:beforeAutospacing="0" w:after="0"/>
        <w:jc w:val="center"/>
        <w:rPr>
          <w:b/>
          <w:szCs w:val="28"/>
        </w:rPr>
      </w:pPr>
      <w:r w:rsidRPr="000E2CB3">
        <w:rPr>
          <w:b/>
          <w:szCs w:val="28"/>
        </w:rPr>
        <w:t>Литература</w:t>
      </w:r>
    </w:p>
    <w:p w14:paraId="79883D8B" w14:textId="2398B469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Антонюк, Л. Я. Эффективность радиосвязи и метод </w:t>
      </w:r>
      <w:proofErr w:type="spellStart"/>
      <w:r w:rsidRPr="000E2CB3">
        <w:rPr>
          <w:szCs w:val="28"/>
        </w:rPr>
        <w:t>ее</w:t>
      </w:r>
      <w:proofErr w:type="spellEnd"/>
      <w:r w:rsidRPr="000E2CB3">
        <w:rPr>
          <w:szCs w:val="28"/>
        </w:rPr>
        <w:t xml:space="preserve"> оценки / Л. Я. Антонюк, В</w:t>
      </w:r>
      <w:r w:rsidR="00946BF3">
        <w:rPr>
          <w:szCs w:val="28"/>
        </w:rPr>
        <w:t>. В. Игнатов. – Санкт-Петербург</w:t>
      </w:r>
      <w:bookmarkStart w:id="0" w:name="_GoBack"/>
      <w:bookmarkEnd w:id="0"/>
      <w:r w:rsidRPr="000E2CB3">
        <w:rPr>
          <w:szCs w:val="28"/>
        </w:rPr>
        <w:t>: ВОЛКАС, 1994. – 138 с.</w:t>
      </w:r>
    </w:p>
    <w:p w14:paraId="7AAE02F1" w14:textId="7448EFCF" w:rsidR="000C1B50" w:rsidRPr="000E2CB3" w:rsidRDefault="00CD3E8B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Обзор технологии </w:t>
      </w:r>
      <w:proofErr w:type="spellStart"/>
      <w:r w:rsidRPr="000E2CB3">
        <w:rPr>
          <w:szCs w:val="28"/>
        </w:rPr>
        <w:t>LoRa</w:t>
      </w:r>
      <w:proofErr w:type="spellEnd"/>
      <w:r w:rsidRPr="000E2CB3">
        <w:rPr>
          <w:szCs w:val="28"/>
        </w:rPr>
        <w:t xml:space="preserve">. </w:t>
      </w:r>
      <w:r w:rsidR="000C1B50" w:rsidRPr="000E2CB3">
        <w:rPr>
          <w:szCs w:val="28"/>
        </w:rPr>
        <w:t xml:space="preserve">К.С. </w:t>
      </w:r>
      <w:proofErr w:type="spellStart"/>
      <w:r w:rsidR="000C1B50" w:rsidRPr="000E2CB3">
        <w:rPr>
          <w:szCs w:val="28"/>
        </w:rPr>
        <w:t>Верхулевский</w:t>
      </w:r>
      <w:proofErr w:type="spellEnd"/>
      <w:r w:rsidR="000C1B50" w:rsidRPr="000E2CB3">
        <w:rPr>
          <w:szCs w:val="28"/>
        </w:rPr>
        <w:t xml:space="preserve"> Журнал «Технологии связи»</w:t>
      </w:r>
      <w:r w:rsidR="000E2CB3">
        <w:rPr>
          <w:szCs w:val="28"/>
        </w:rPr>
        <w:t>.</w:t>
      </w:r>
    </w:p>
    <w:p w14:paraId="00B3C4BA" w14:textId="3073EE9F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Оценка условий осуществления радиосвязи на радиолиниях различной </w:t>
      </w:r>
      <w:proofErr w:type="spellStart"/>
      <w:r w:rsidRPr="000E2CB3">
        <w:rPr>
          <w:szCs w:val="28"/>
        </w:rPr>
        <w:t>протяженности</w:t>
      </w:r>
      <w:proofErr w:type="spellEnd"/>
      <w:r w:rsidRPr="000E2CB3">
        <w:rPr>
          <w:szCs w:val="28"/>
        </w:rPr>
        <w:t xml:space="preserve"> с </w:t>
      </w:r>
      <w:proofErr w:type="spellStart"/>
      <w:r w:rsidRPr="000E2CB3">
        <w:rPr>
          <w:szCs w:val="28"/>
        </w:rPr>
        <w:t>учетом</w:t>
      </w:r>
      <w:proofErr w:type="spellEnd"/>
      <w:r w:rsidRPr="000E2CB3">
        <w:rPr>
          <w:szCs w:val="28"/>
        </w:rPr>
        <w:t xml:space="preserve"> особенностей распространения радиоволн / В. С. Лазоренко, В. В. Сергеев, А. М. Кокорин. – Орёл</w:t>
      </w:r>
      <w:proofErr w:type="gramStart"/>
      <w:r w:rsidRPr="000E2CB3">
        <w:rPr>
          <w:szCs w:val="28"/>
        </w:rPr>
        <w:t xml:space="preserve"> :</w:t>
      </w:r>
      <w:proofErr w:type="gramEnd"/>
      <w:r w:rsidRPr="000E2CB3">
        <w:rPr>
          <w:szCs w:val="28"/>
        </w:rPr>
        <w:t xml:space="preserve"> Академия ФСО России, 2011. – 172 с.</w:t>
      </w:r>
    </w:p>
    <w:p w14:paraId="0B8EB9B6" w14:textId="763BDF71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>Антенно-фидерные устройства и распространение радиоволн</w:t>
      </w:r>
      <w:r w:rsidR="00CD3E8B" w:rsidRPr="000E2CB3">
        <w:rPr>
          <w:szCs w:val="28"/>
        </w:rPr>
        <w:t xml:space="preserve"> </w:t>
      </w:r>
      <w:r w:rsidRPr="000E2CB3">
        <w:rPr>
          <w:szCs w:val="28"/>
        </w:rPr>
        <w:t>/ Г. А. Ерохин, О. В. Чернышев, Н.</w:t>
      </w:r>
      <w:r w:rsidR="000E2CB3">
        <w:rPr>
          <w:szCs w:val="28"/>
        </w:rPr>
        <w:t xml:space="preserve"> Д. Козырев, В. Г. </w:t>
      </w:r>
      <w:proofErr w:type="spellStart"/>
      <w:r w:rsidR="000E2CB3">
        <w:rPr>
          <w:szCs w:val="28"/>
        </w:rPr>
        <w:t>Кочержинский</w:t>
      </w:r>
      <w:proofErr w:type="spellEnd"/>
      <w:r w:rsidRPr="000E2CB3">
        <w:rPr>
          <w:szCs w:val="28"/>
        </w:rPr>
        <w:t xml:space="preserve">; </w:t>
      </w:r>
      <w:proofErr w:type="spellStart"/>
      <w:r w:rsidRPr="000E2CB3">
        <w:rPr>
          <w:szCs w:val="28"/>
        </w:rPr>
        <w:t>подред</w:t>
      </w:r>
      <w:proofErr w:type="spellEnd"/>
      <w:r w:rsidRPr="000E2CB3">
        <w:rPr>
          <w:szCs w:val="28"/>
        </w:rPr>
        <w:t>.  Г. А. Ерохина. – Москва</w:t>
      </w:r>
      <w:proofErr w:type="gramStart"/>
      <w:r w:rsidRPr="000E2CB3">
        <w:rPr>
          <w:szCs w:val="28"/>
        </w:rPr>
        <w:t xml:space="preserve"> :</w:t>
      </w:r>
      <w:proofErr w:type="gramEnd"/>
      <w:r w:rsidRPr="000E2CB3">
        <w:rPr>
          <w:szCs w:val="28"/>
        </w:rPr>
        <w:t xml:space="preserve"> Горячая линия – Телеком, 2007. – 491 с.</w:t>
      </w:r>
    </w:p>
    <w:p w14:paraId="7D77400D" w14:textId="77BB93AF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Принятие оптимальных решений при проектировании сетей датчиков </w:t>
      </w:r>
      <w:proofErr w:type="spellStart"/>
      <w:r w:rsidRPr="000E2CB3">
        <w:rPr>
          <w:szCs w:val="28"/>
        </w:rPr>
        <w:t>Шмидбауэр</w:t>
      </w:r>
      <w:proofErr w:type="spellEnd"/>
      <w:r w:rsidRPr="000E2CB3">
        <w:rPr>
          <w:szCs w:val="28"/>
        </w:rPr>
        <w:t xml:space="preserve"> Харди (</w:t>
      </w:r>
      <w:proofErr w:type="spellStart"/>
      <w:r w:rsidRPr="000E2CB3">
        <w:rPr>
          <w:szCs w:val="28"/>
        </w:rPr>
        <w:t>Hardy</w:t>
      </w:r>
      <w:proofErr w:type="spellEnd"/>
      <w:r w:rsidRPr="000E2CB3">
        <w:rPr>
          <w:szCs w:val="28"/>
        </w:rPr>
        <w:t xml:space="preserve"> </w:t>
      </w:r>
      <w:proofErr w:type="spellStart"/>
      <w:r w:rsidRPr="000E2CB3">
        <w:rPr>
          <w:szCs w:val="28"/>
        </w:rPr>
        <w:t>Schmidbauer</w:t>
      </w:r>
      <w:proofErr w:type="spellEnd"/>
      <w:r w:rsidRPr="000E2CB3">
        <w:rPr>
          <w:szCs w:val="28"/>
        </w:rPr>
        <w:t>) Журнал «Беспроводные технологии»</w:t>
      </w:r>
      <w:r w:rsidR="00CD3E8B" w:rsidRPr="000E2CB3">
        <w:rPr>
          <w:szCs w:val="28"/>
        </w:rPr>
        <w:t>.</w:t>
      </w:r>
    </w:p>
    <w:p w14:paraId="7105F700" w14:textId="71F7F0FA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>Стандарты Беспроводной связи диапазона ISM. Д.</w:t>
      </w:r>
      <w:r w:rsidR="000E2CB3">
        <w:rPr>
          <w:szCs w:val="28"/>
        </w:rPr>
        <w:t xml:space="preserve"> </w:t>
      </w:r>
      <w:r w:rsidRPr="000E2CB3">
        <w:rPr>
          <w:szCs w:val="28"/>
        </w:rPr>
        <w:t>Петров журнал «Беспроводные технологии»</w:t>
      </w:r>
      <w:r w:rsidR="00CD3E8B" w:rsidRPr="000E2CB3">
        <w:rPr>
          <w:szCs w:val="28"/>
        </w:rPr>
        <w:t>.</w:t>
      </w:r>
    </w:p>
    <w:sectPr w:rsidR="000C1B50" w:rsidRPr="000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6A"/>
    <w:rsid w:val="0008506A"/>
    <w:rsid w:val="000C1B50"/>
    <w:rsid w:val="000E2CB3"/>
    <w:rsid w:val="001E4FB8"/>
    <w:rsid w:val="00243323"/>
    <w:rsid w:val="004B5D82"/>
    <w:rsid w:val="005C3B84"/>
    <w:rsid w:val="00705B7D"/>
    <w:rsid w:val="0085202E"/>
    <w:rsid w:val="00875BF8"/>
    <w:rsid w:val="008E73EE"/>
    <w:rsid w:val="00911466"/>
    <w:rsid w:val="00946BF3"/>
    <w:rsid w:val="00BB42F8"/>
    <w:rsid w:val="00BF54AF"/>
    <w:rsid w:val="00CD3E8B"/>
    <w:rsid w:val="00CF18FC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10</cp:revision>
  <dcterms:created xsi:type="dcterms:W3CDTF">2023-01-12T08:48:00Z</dcterms:created>
  <dcterms:modified xsi:type="dcterms:W3CDTF">2023-02-14T11:30:00Z</dcterms:modified>
</cp:coreProperties>
</file>