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B2CD" w14:textId="7529DACB" w:rsidR="00551105" w:rsidRPr="00A709FF" w:rsidRDefault="00551105" w:rsidP="005511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Билет </w:t>
      </w:r>
      <w:r w:rsid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16</w:t>
      </w:r>
    </w:p>
    <w:p w14:paraId="75B0491F" w14:textId="06EC18BC" w:rsidR="003A2924" w:rsidRPr="00A709FF" w:rsidRDefault="003A2924" w:rsidP="00D922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551105"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D4DCA"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Обоснуйте структурные методы разрешения конфликтов</w:t>
      </w:r>
    </w:p>
    <w:p w14:paraId="191DD4C6" w14:textId="2A7D87AA" w:rsidR="008E3A1C" w:rsidRPr="00A709FF" w:rsidRDefault="008E3A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A9338F" w14:textId="77777777" w:rsidR="00A709FF" w:rsidRPr="00A709FF" w:rsidRDefault="00A709FF" w:rsidP="00715E2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sz w:val="24"/>
          <w:szCs w:val="24"/>
          <w:lang w:val="ru-RU"/>
        </w:rPr>
        <w:t>К структурным методам разрешения конфликтов относятся следующие:</w:t>
      </w:r>
    </w:p>
    <w:p w14:paraId="5A2BD3BB" w14:textId="77777777" w:rsidR="00A709FF" w:rsidRPr="00A709FF" w:rsidRDefault="00A709FF" w:rsidP="00715E2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sz w:val="24"/>
          <w:szCs w:val="24"/>
          <w:lang w:val="ru-RU"/>
        </w:rPr>
        <w:t>1) разъяснение требований к работе (каждый работник должен знать об ожидаемом уровне результатов, о том, кто предоставляет и получает различную информацию, системе полномочий и ответственности и т.п.);</w:t>
      </w:r>
    </w:p>
    <w:p w14:paraId="5E66A485" w14:textId="77777777" w:rsidR="00A709FF" w:rsidRPr="00A709FF" w:rsidRDefault="00A709FF" w:rsidP="00715E2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sz w:val="24"/>
          <w:szCs w:val="24"/>
          <w:lang w:val="ru-RU"/>
        </w:rPr>
        <w:t>2) координационные и интегра</w:t>
      </w:r>
      <w:bookmarkStart w:id="0" w:name="_GoBack"/>
      <w:bookmarkEnd w:id="0"/>
      <w:r w:rsidRPr="00A709FF">
        <w:rPr>
          <w:rFonts w:ascii="Times New Roman" w:hAnsi="Times New Roman" w:cs="Times New Roman"/>
          <w:sz w:val="24"/>
          <w:szCs w:val="24"/>
          <w:lang w:val="ru-RU"/>
        </w:rPr>
        <w:t>ционные методы (один из них — цепь команд. Иерархия полномочий упорядочивает взаимодействия людей, принятие решений и информационные потоки внутри организации, Начальник может принять решение по какому-либо вопросу, вызвавшему противоречия, и тем самым предупредить возникновение конфликта. Конфликт между двумя производственными подразделениями можно разрешить, создав промежуточную службу, координирующую работу этих подразделений);</w:t>
      </w:r>
    </w:p>
    <w:p w14:paraId="22C25843" w14:textId="174751FE" w:rsidR="00A709FF" w:rsidRPr="00A709FF" w:rsidRDefault="00A709FF" w:rsidP="00715E2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sz w:val="24"/>
          <w:szCs w:val="24"/>
          <w:lang w:val="ru-RU"/>
        </w:rPr>
        <w:t>3) направление усилий всех участников на достижение общих целей</w:t>
      </w:r>
      <w:r w:rsidR="004917F3">
        <w:rPr>
          <w:rFonts w:ascii="Times New Roman" w:hAnsi="Times New Roman" w:cs="Times New Roman"/>
          <w:sz w:val="24"/>
          <w:szCs w:val="24"/>
          <w:lang w:val="ru-RU"/>
        </w:rPr>
        <w:t xml:space="preserve"> (работники должны помнить, что несмотря на конфликты и сложности, главным приоритетом для всех является выполнение </w:t>
      </w:r>
      <w:r w:rsidR="00932ED2">
        <w:rPr>
          <w:rFonts w:ascii="Times New Roman" w:hAnsi="Times New Roman" w:cs="Times New Roman"/>
          <w:sz w:val="24"/>
          <w:szCs w:val="24"/>
          <w:lang w:val="ru-RU"/>
        </w:rPr>
        <w:t xml:space="preserve">общей </w:t>
      </w:r>
      <w:r w:rsidR="004917F3">
        <w:rPr>
          <w:rFonts w:ascii="Times New Roman" w:hAnsi="Times New Roman" w:cs="Times New Roman"/>
          <w:sz w:val="24"/>
          <w:szCs w:val="24"/>
          <w:lang w:val="ru-RU"/>
        </w:rPr>
        <w:t>поставленной задачи)</w:t>
      </w:r>
      <w:r w:rsidRPr="00A709F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CCA5468" w14:textId="14C0C2EE" w:rsidR="00AD4DCA" w:rsidRPr="00A709FF" w:rsidRDefault="00A709FF" w:rsidP="00715E2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sz w:val="24"/>
          <w:szCs w:val="24"/>
          <w:lang w:val="ru-RU"/>
        </w:rPr>
        <w:t>4) создание системы вознаграждений (вознаграждение благодарностью, премией, признанием или повышением по службе можно использовать как метод управления конфликтной ситуацией, оказывая влияние на поведение людей).</w:t>
      </w:r>
    </w:p>
    <w:p w14:paraId="644E86DF" w14:textId="33990103" w:rsidR="00AD4DCA" w:rsidRPr="00A709FF" w:rsidRDefault="00AD4D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E44BFD" w14:textId="451BA318" w:rsidR="00B17044" w:rsidRPr="00B17044" w:rsidRDefault="00B17044" w:rsidP="00B17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Pr="00B170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Раскройте значимость для современного управления двухфакторной теории мотивации Frederick Herzberg </w:t>
      </w:r>
    </w:p>
    <w:p w14:paraId="3943CD2D" w14:textId="77777777" w:rsidR="00B17044" w:rsidRPr="00B17044" w:rsidRDefault="00B17044" w:rsidP="00B17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230DE3" w14:textId="6A7B458F" w:rsidR="00B17044" w:rsidRDefault="00B17044" w:rsidP="00B1704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noProof/>
          <w:lang w:val="kk-KZ"/>
        </w:rPr>
      </w:pPr>
      <w:r>
        <w:rPr>
          <w:noProof/>
        </w:rPr>
        <w:drawing>
          <wp:inline distT="0" distB="0" distL="0" distR="0" wp14:anchorId="04D8B6AA" wp14:editId="2F1134C3">
            <wp:extent cx="4582886" cy="2618105"/>
            <wp:effectExtent l="0" t="0" r="8255" b="0"/>
            <wp:docPr id="1" name="Рисунок 1" descr="def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_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87" cy="26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0D8B5CD" w14:textId="77777777" w:rsidR="00B17044" w:rsidRPr="00915C7B" w:rsidRDefault="00B17044" w:rsidP="00B1704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lang w:val="kk-KZ"/>
        </w:rPr>
      </w:pPr>
    </w:p>
    <w:p w14:paraId="29AB5DC9" w14:textId="77777777" w:rsidR="00B17044" w:rsidRDefault="00B17044" w:rsidP="00AE0F6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</w:pPr>
      <w:r w:rsidRPr="0095190D">
        <w:t xml:space="preserve">Ф. </w:t>
      </w:r>
      <w:proofErr w:type="spellStart"/>
      <w:r w:rsidRPr="0095190D">
        <w:t>Герцберг</w:t>
      </w:r>
      <w:proofErr w:type="spellEnd"/>
      <w:r w:rsidRPr="0095190D">
        <w:t xml:space="preserve"> в своей модели мотивации выделил две группы факторов: </w:t>
      </w:r>
      <w:r w:rsidRPr="00B17044">
        <w:rPr>
          <w:b/>
          <w:bCs/>
        </w:rPr>
        <w:t>гигиенические</w:t>
      </w:r>
      <w:r w:rsidRPr="0095190D">
        <w:t xml:space="preserve"> – отвечающие за отсутствие неудовлетворенности и </w:t>
      </w:r>
      <w:r w:rsidRPr="00B17044">
        <w:rPr>
          <w:b/>
          <w:bCs/>
        </w:rPr>
        <w:t>мотивирующие</w:t>
      </w:r>
      <w:r w:rsidRPr="0095190D">
        <w:t xml:space="preserve"> – отвечающие за удовлетворенность трудом. </w:t>
      </w:r>
    </w:p>
    <w:p w14:paraId="74F7D2D2" w14:textId="77777777" w:rsidR="00B17044" w:rsidRDefault="00B17044" w:rsidP="00AE0F6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</w:pPr>
      <w:r w:rsidRPr="0095190D">
        <w:t xml:space="preserve">К первой группе </w:t>
      </w:r>
      <w:proofErr w:type="spellStart"/>
      <w:r w:rsidRPr="0095190D">
        <w:t>Герцберг</w:t>
      </w:r>
      <w:proofErr w:type="spellEnd"/>
      <w:r w:rsidRPr="0095190D">
        <w:t xml:space="preserve"> отнес 10 факторов: </w:t>
      </w:r>
      <w:r w:rsidRPr="0095190D">
        <w:rPr>
          <w:b/>
        </w:rPr>
        <w:t>политика компании, технический надзор (контроль), отношения с руководителем, отношения с коллегами, отношения с подчиненными, заработок, безопасность и гарантия работы, личная и семейная жизнь, условия труда, статус.</w:t>
      </w:r>
      <w:r w:rsidRPr="0095190D">
        <w:t xml:space="preserve"> </w:t>
      </w:r>
    </w:p>
    <w:p w14:paraId="61AD0275" w14:textId="77777777" w:rsidR="00B17044" w:rsidRDefault="00B17044" w:rsidP="00AE0F6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</w:pPr>
      <w:r w:rsidRPr="0095190D">
        <w:t xml:space="preserve">Во второй группе оказалось 6 факторов: </w:t>
      </w:r>
      <w:r w:rsidRPr="0095190D">
        <w:rPr>
          <w:b/>
        </w:rPr>
        <w:t>достижение, признание, содержание работы, возможность карьерного роста, ответственность, успехи.</w:t>
      </w:r>
      <w:r w:rsidRPr="0095190D">
        <w:t xml:space="preserve"> </w:t>
      </w:r>
    </w:p>
    <w:p w14:paraId="34566D67" w14:textId="72AFE9E6" w:rsidR="00B17044" w:rsidRDefault="00B17044" w:rsidP="00AE0F6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</w:pPr>
      <w:r w:rsidRPr="0095190D">
        <w:t xml:space="preserve">Главное отличие между факторами двух этих групп заключается в том, что </w:t>
      </w:r>
      <w:r>
        <w:rPr>
          <w:lang w:val="ru-RU"/>
        </w:rPr>
        <w:t>гигиенические факторы</w:t>
      </w:r>
      <w:r w:rsidRPr="0095190D">
        <w:t xml:space="preserve"> к самой работе</w:t>
      </w:r>
      <w:r>
        <w:rPr>
          <w:lang w:val="ru-RU"/>
        </w:rPr>
        <w:t xml:space="preserve"> </w:t>
      </w:r>
      <w:r w:rsidRPr="0095190D">
        <w:t>никак не относятся</w:t>
      </w:r>
      <w:r>
        <w:rPr>
          <w:lang w:val="ru-RU"/>
        </w:rPr>
        <w:t xml:space="preserve"> </w:t>
      </w:r>
      <w:r w:rsidRPr="0095190D">
        <w:t xml:space="preserve">– это всего лишь условия, в которых она выполняется. </w:t>
      </w:r>
    </w:p>
    <w:p w14:paraId="24C34886" w14:textId="14EF1DC9" w:rsidR="00B17044" w:rsidRPr="00915C7B" w:rsidRDefault="00B17044" w:rsidP="00AE0F6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</w:pPr>
      <w:r w:rsidRPr="0095190D">
        <w:lastRenderedPageBreak/>
        <w:t xml:space="preserve">По </w:t>
      </w:r>
      <w:proofErr w:type="spellStart"/>
      <w:r w:rsidRPr="0095190D">
        <w:t>Герцбергу</w:t>
      </w:r>
      <w:proofErr w:type="spellEnd"/>
      <w:r w:rsidRPr="0095190D">
        <w:t xml:space="preserve"> недостаток гигиенических факторов приводит к неудовлетворенности человека своей работой, в следствие чего может снизиться эффективность работника. Наличие же мотиваторов (вторая группа факторов) в </w:t>
      </w:r>
      <w:r w:rsidRPr="00915C7B">
        <w:t>достаточном количестве вызывает удовлетворение и мотивирует работников на хорошее выполнение своей работы.</w:t>
      </w:r>
    </w:p>
    <w:p w14:paraId="72C2085B" w14:textId="77777777" w:rsidR="00B17044" w:rsidRPr="0065619E" w:rsidRDefault="00B17044" w:rsidP="00AE0F6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В современном управлении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15C7B">
        <w:rPr>
          <w:rFonts w:ascii="Times New Roman" w:hAnsi="Times New Roman" w:cs="Times New Roman"/>
          <w:sz w:val="24"/>
          <w:szCs w:val="24"/>
        </w:rPr>
        <w:t xml:space="preserve">еория двух факторов </w:t>
      </w:r>
      <w:proofErr w:type="spellStart"/>
      <w:r w:rsidRPr="00915C7B">
        <w:rPr>
          <w:rFonts w:ascii="Times New Roman" w:hAnsi="Times New Roman" w:cs="Times New Roman"/>
          <w:sz w:val="24"/>
          <w:szCs w:val="24"/>
        </w:rPr>
        <w:t>Герцберга</w:t>
      </w:r>
      <w:proofErr w:type="spellEnd"/>
      <w:r w:rsidRPr="00915C7B">
        <w:rPr>
          <w:rFonts w:ascii="Times New Roman" w:hAnsi="Times New Roman" w:cs="Times New Roman"/>
          <w:sz w:val="24"/>
          <w:szCs w:val="24"/>
        </w:rPr>
        <w:t xml:space="preserve"> получила широкое распространение, хотя большинство исследований, проведенных для ее более глубокой проверки, не смогли однозначно подтвердить ее выводы. Рекомендации этой теории используют на практике многие компании. Так, с ее помощью некоторым американским компаниям удалось заметно повысить мотивацию служащих. В частности, они использовали выводы </w:t>
      </w:r>
      <w:proofErr w:type="spellStart"/>
      <w:r w:rsidRPr="00915C7B">
        <w:rPr>
          <w:rFonts w:ascii="Times New Roman" w:hAnsi="Times New Roman" w:cs="Times New Roman"/>
          <w:sz w:val="24"/>
          <w:szCs w:val="24"/>
        </w:rPr>
        <w:t>Герцберга</w:t>
      </w:r>
      <w:proofErr w:type="spellEnd"/>
      <w:r w:rsidRPr="00915C7B">
        <w:rPr>
          <w:rFonts w:ascii="Times New Roman" w:hAnsi="Times New Roman" w:cs="Times New Roman"/>
          <w:sz w:val="24"/>
          <w:szCs w:val="24"/>
        </w:rPr>
        <w:t xml:space="preserve"> о мотиваторах при разработке и реализации программ по обогащению труда, повышению его привлекательности. Например, на одном из заводов уборщикам помещений разрешили самостоятельно решать все проблемы по ведению хозяйства и поддержанию помещений в чистоте. Были задействованы мотиваторы удовлетворенности трудом. Работники сами стали распределять между собой обязанности, </w:t>
      </w:r>
      <w:r w:rsidRPr="0065619E">
        <w:rPr>
          <w:rFonts w:ascii="Times New Roman" w:hAnsi="Times New Roman" w:cs="Times New Roman"/>
          <w:sz w:val="24"/>
          <w:szCs w:val="24"/>
        </w:rPr>
        <w:t>общаться с торговыми посредниками и заказывать необходимый инвентарь, а также рассматривать поступающие на их работу жалобы. Это повысило ответственность работников, усилило их мотивацию, сократило текучесть кадров и количество прогулов. Причиной таких позитивных перемен явилось повышение удовлетворенности работников трудом и организационной идентификации.</w:t>
      </w:r>
    </w:p>
    <w:p w14:paraId="18C7766F" w14:textId="77777777" w:rsidR="00B17044" w:rsidRPr="0065619E" w:rsidRDefault="00B17044" w:rsidP="00AE0F6D">
      <w:pPr>
        <w:shd w:val="clear" w:color="auto" w:fill="FFFFFF"/>
        <w:spacing w:after="285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1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Двухфакторная теория мотивации Ф. </w:t>
      </w:r>
      <w:proofErr w:type="spellStart"/>
      <w:r w:rsidRPr="006561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Герцберга</w:t>
      </w:r>
      <w:proofErr w:type="spellEnd"/>
      <w:r w:rsidRPr="006561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эмпирически подтверждалась и так же успешно опровергалась. Тем не менее теория была признана многими учеными, включая маркетологов, и повлияла на развитие многих других теорий.</w:t>
      </w:r>
    </w:p>
    <w:p w14:paraId="0FC8AE6E" w14:textId="20D85960" w:rsidR="00AD4DCA" w:rsidRPr="00B17044" w:rsidRDefault="00AD4DCA" w:rsidP="00AE0F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E9802F" w14:textId="77777777" w:rsidR="00AD4DCA" w:rsidRPr="00CC59A7" w:rsidRDefault="00AD4DCA" w:rsidP="00AE0F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D4DCA" w:rsidRPr="00CC59A7" w:rsidSect="00B76A6F"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03D0"/>
    <w:multiLevelType w:val="hybridMultilevel"/>
    <w:tmpl w:val="1A8AA886"/>
    <w:lvl w:ilvl="0" w:tplc="1F6CB68E">
      <w:start w:val="2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" w15:restartNumberingAfterBreak="0">
    <w:nsid w:val="720A4BC4"/>
    <w:multiLevelType w:val="hybridMultilevel"/>
    <w:tmpl w:val="C4848506"/>
    <w:lvl w:ilvl="0" w:tplc="A4CA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92348C"/>
    <w:multiLevelType w:val="hybridMultilevel"/>
    <w:tmpl w:val="579EA9E0"/>
    <w:lvl w:ilvl="0" w:tplc="7AF2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4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98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46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0"/>
    <w:rsid w:val="000F3504"/>
    <w:rsid w:val="001B3F9B"/>
    <w:rsid w:val="00254273"/>
    <w:rsid w:val="002A048E"/>
    <w:rsid w:val="002D34F9"/>
    <w:rsid w:val="002D5467"/>
    <w:rsid w:val="00331386"/>
    <w:rsid w:val="00386963"/>
    <w:rsid w:val="003A2924"/>
    <w:rsid w:val="003E199B"/>
    <w:rsid w:val="0040608E"/>
    <w:rsid w:val="00455131"/>
    <w:rsid w:val="00461125"/>
    <w:rsid w:val="004917F3"/>
    <w:rsid w:val="00551105"/>
    <w:rsid w:val="006373A7"/>
    <w:rsid w:val="00715E27"/>
    <w:rsid w:val="00730C53"/>
    <w:rsid w:val="008E3A1C"/>
    <w:rsid w:val="00932ED2"/>
    <w:rsid w:val="00A709FF"/>
    <w:rsid w:val="00AD4DCA"/>
    <w:rsid w:val="00AE0F6D"/>
    <w:rsid w:val="00B17044"/>
    <w:rsid w:val="00B76A6F"/>
    <w:rsid w:val="00C55D23"/>
    <w:rsid w:val="00CC59A7"/>
    <w:rsid w:val="00D36BB1"/>
    <w:rsid w:val="00D37016"/>
    <w:rsid w:val="00D9226F"/>
    <w:rsid w:val="00D930BF"/>
    <w:rsid w:val="00DA340E"/>
    <w:rsid w:val="00DE7FF0"/>
    <w:rsid w:val="00EB0160"/>
    <w:rsid w:val="00F000FF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8AFB"/>
  <w15:chartTrackingRefBased/>
  <w15:docId w15:val="{67FAA256-4A7C-46DB-965F-F1AFD3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a4">
    <w:name w:val="Table Grid"/>
    <w:basedOn w:val="a1"/>
    <w:uiPriority w:val="39"/>
    <w:rsid w:val="000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semiHidden/>
    <w:unhideWhenUsed/>
    <w:rsid w:val="00DA3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2022-05-13T11:01:00Z</dcterms:created>
  <dcterms:modified xsi:type="dcterms:W3CDTF">2022-05-15T11:24:00Z</dcterms:modified>
</cp:coreProperties>
</file>