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パラメータの direction </w:t>
      </w:r>
      <w:r>
        <w:rPr>
          <w:rFonts w:hint="eastAsia"/>
        </w:rPr>
        <w:t xml:space="preserve">の処理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では direction </w:t>
      </w:r>
      <w:r>
        <w:rPr>
          <w:rFonts w:hint="eastAsia"/>
        </w:rPr>
        <w:t xml:space="preserve">を解釈できないので、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&gt;a&lt;/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&gt;c&lt;/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"in, out"</w:t>
      </w:r>
      <w:r>
        <w:rPr>
          <w:rStyle w:val="NormalTok"/>
        </w:rPr>
        <w:t xml:space="preserve">&gt;d&lt;/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に対して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&gt;[in] 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&gt;[out] 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&gt;[in, out] 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になるように前処理を行う。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パラメータの direction の処理</dc:title>
  <dc:creator>Tetsuo Honda</dc:creator>
  <cp:keywords/>
  <dcterms:created xsi:type="dcterms:W3CDTF">2026-03-13T23:38:40Z</dcterms:created>
  <dcterms:modified xsi:type="dcterms:W3CDTF">2026-03-13T23:38:40Z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