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パラメータの direction </w:t>
      </w:r>
      <w:r>
        <w:rPr>
          <w:rFonts w:hint="eastAsia"/>
        </w:rPr>
        <w:t xml:space="preserve">の処理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doxybook2 では direction </w:t>
      </w:r>
      <w:r>
        <w:rPr>
          <w:rFonts w:hint="eastAsia"/>
        </w:rPr>
        <w:t xml:space="preserve">を解釈できないので、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&gt;a&lt;/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"out"</w:t>
      </w:r>
      <w:r>
        <w:rPr>
          <w:rStyle w:val="NormalTok"/>
        </w:rPr>
        <w:t xml:space="preserve">&gt;c&lt;/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"in, out"</w:t>
      </w:r>
      <w:r>
        <w:rPr>
          <w:rStyle w:val="NormalTok"/>
        </w:rPr>
        <w:t xml:space="preserve">&gt;d&lt;/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に対して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&gt;[in] 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&gt;[out] 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&gt;[in, out] 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になるように前処理を行う。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パラメータの direction の処理</dc:title>
  <dc:creator>Tetsuo Honda</dc:creator>
  <cp:keywords/>
  <dcterms:created xsi:type="dcterms:W3CDTF">2026-03-01T22:16:24Z</dcterms:created>
  <dcterms:modified xsi:type="dcterms:W3CDTF">2026-03-01T22:16:24Z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