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パラメータの direction </w:t>
      </w:r>
      <w:r>
        <w:rPr>
          <w:rFonts w:hint="eastAsia"/>
        </w:rPr>
        <w:t xml:space="preserve">の処理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p>
      <w:pPr>
        <w:pStyle w:val="FirstParagraph"/>
      </w:pPr>
      <w:r>
        <w:t xml:space="preserve">doxybook2 では direction </w:t>
      </w:r>
      <w:r>
        <w:rPr>
          <w:rFonts w:hint="eastAsia"/>
        </w:rPr>
        <w:t xml:space="preserve">を解釈できないので、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&gt;a&lt;/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&gt;c&lt;/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"in, out"</w:t>
      </w:r>
      <w:r>
        <w:rPr>
          <w:rStyle w:val="NormalTok"/>
        </w:rPr>
        <w:t xml:space="preserve">&gt;d&lt;/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に対して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&gt;[in] 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&gt;[out] 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&gt;[in, out] 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になるように前処理を行う。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パラメータの direction の処理</dc:title>
  <dc:creator>Tetsuo Honda</dc:creator>
  <cp:keywords/>
  <dcterms:created xsi:type="dcterms:W3CDTF">2026-02-15T11:03:45Z</dcterms:created>
  <dcterms:modified xsi:type="dcterms:W3CDTF">2026-02-15T11:03:45Z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