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パラメータの direction </w:t>
      </w:r>
      <w:r>
        <w:rPr>
          <w:rFonts w:hint="eastAsia"/>
        </w:rPr>
        <w:t xml:space="preserve">の処理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doxybook2 では direction </w:t>
      </w:r>
      <w:r>
        <w:rPr>
          <w:rFonts w:hint="eastAsia"/>
        </w:rPr>
        <w:t xml:space="preserve">を解釈できないので、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&gt;a&lt;/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&gt;c&lt;/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"in, out"</w:t>
      </w:r>
      <w:r>
        <w:rPr>
          <w:rStyle w:val="NormalTok"/>
        </w:rPr>
        <w:t xml:space="preserve">&gt;d&lt;/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に対して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&gt;[in] 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&gt;[out] 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&gt;[in, out] 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になるように前処理を行う。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パラメータの direction の処理</dc:title>
  <dc:creator>Tetsuo Honda</dc:creator>
  <cp:keywords/>
  <dcterms:created xsi:type="dcterms:W3CDTF">2026-03-05T03:55:23Z</dcterms:created>
  <dcterms:modified xsi:type="dcterms:W3CDTF">2026-03-05T03:55:23Z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