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サンプル計算機能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これは、Markdown のサンプルです。</w:t>
      </w:r>
    </w:p>
    <w:p>
      <w:pPr>
        <w:pStyle w:val="Figure"/>
      </w:pPr>
      <w:r>
        <w:drawing>
          <wp:inline>
            <wp:extent cx="1038225" cy="1190625"/>
            <wp:effectExtent b="0" l="0" r="0" t="0"/>
            <wp:docPr descr="plantuml" title="" id="18" name="Picture"/>
            <a:graphic>
              <a:graphicData uri="http://schemas.openxmlformats.org/drawingml/2006/picture">
                <pic:pic>
                  <pic:nvPicPr>
                    <pic:cNvPr descr="puml_e0d754bf08a923b348a9f02619a0f105f6b34fb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サンプル計算機能</dc:title>
  <dc:creator/>
  <cp:keywords/>
  <dcterms:created xsi:type="dcterms:W3CDTF">2026-03-05T03:45:56Z</dcterms:created>
  <dcterms:modified xsi:type="dcterms:W3CDTF">2026-03-05T03:45:56Z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