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2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shared-and-static-calc.c-のインクルード依存"/>
    <w:p>
      <w:pPr>
        <w:pStyle w:val="3"/>
      </w:pPr>
      <w:r>
        <w:t xml:space="preserve">shared-and-static-calc.c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4352925" cy="2343150"/>
            <wp:effectExtent b="0" l="0" r="0" t="0"/>
            <wp:docPr descr="shared-and-static-calc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11429009edd8ccdc207276eae3e7aede4162eff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shared-and-static-calc.c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30"/>
    <w:bookmarkStart w:id="31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1"/>
    <w:bookmarkStart w:id="36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6108700" cy="765527"/>
            <wp:effectExtent b="0" l="0" r="0" t="0"/>
            <wp:docPr descr="main のコールグラフ" title="" id="33" name="Picture"/>
            <a:graphic>
              <a:graphicData uri="http://schemas.openxmlformats.org/drawingml/2006/picture">
                <pic:pic>
                  <pic:nvPicPr>
                    <pic:cNvPr descr="puml_32c360c866599eb2f78e6ed08625cde9c1f30d84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6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6"/>
    <w:bookmarkStart w:id="3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2026-02-22T02:37:07Z</dcterms:created>
  <dcterms:modified xsi:type="dcterms:W3CDTF">2026-02-22T02:37:07Z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