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41.png" ContentType="image/png"/>
  <Override PartName="/word/media/rId20.svg" ContentType="image/svg+xml"/>
  <Override PartName="/word/media/rId38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calc/libsrc/calc/calcHandler.c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calclibsrccalccalchandler.c"/>
    <w:p>
      <w:pPr>
        <w:pStyle w:val="2"/>
      </w:pPr>
      <w:r>
        <w:t xml:space="preserve">calc/libsrc/calc/calcHandler.c</w:t>
      </w:r>
    </w:p>
    <w:p>
      <w:pPr>
        <w:pStyle w:val="FirstParagraph"/>
      </w:pPr>
      <w:r>
        <w:t xml:space="preserve">calcHandler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4" w:name="calchandler.c-のインクルード依存"/>
    <w:p>
      <w:pPr>
        <w:pStyle w:val="3"/>
      </w:pPr>
      <w:r>
        <w:t xml:space="preserve">calcHandler.c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362325" cy="2343150"/>
            <wp:effectExtent b="0" l="0" r="0" t="0"/>
            <wp:docPr descr="calcHandler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0652b4a1eb6341fb6b56b83932e94d882b5c61d7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演算種別に基づいて適切な計算関数を呼び出すハンドラーを提供します。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6"/>
    <w:bookmarkEnd w:id="27"/>
    <w:bookmarkEnd w:id="28"/>
    <w:bookmarkStart w:id="45" w:name="関数"/>
    <w:p>
      <w:pPr>
        <w:pStyle w:val="10"/>
      </w:pPr>
      <w:r>
        <w:rPr>
          <w:rFonts w:hint="eastAsia"/>
        </w:rPr>
        <w:t xml:space="preserve">関数</w:t>
      </w:r>
    </w:p>
    <w:bookmarkStart w:id="44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0"/>
    <w:bookmarkStart w:id="31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calchandler-のコールグラフ"/>
    <w:p>
      <w:pPr>
        <w:pStyle w:val="3"/>
      </w:pPr>
      <w:r>
        <w:t xml:space="preserve">calcHandler のコールグラフ</w:t>
      </w:r>
    </w:p>
    <w:p>
      <w:pPr>
        <w:pStyle w:val="CaptionedFigure"/>
      </w:pPr>
      <w:r>
        <w:drawing>
          <wp:inline>
            <wp:extent cx="6108700" cy="711319"/>
            <wp:effectExtent b="0" l="0" r="0" t="0"/>
            <wp:docPr descr="calcHandler のコールグラフ" title="" id="34" name="Picture"/>
            <a:graphic>
              <a:graphicData uri="http://schemas.openxmlformats.org/drawingml/2006/picture">
                <pic:pic>
                  <pic:nvPicPr>
                    <pic:cNvPr descr="puml_f07783e04ed5ba74da614ea1c3eb558e2cee4f7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11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のコールグラフ</w:t>
      </w:r>
    </w:p>
    <w:bookmarkEnd w:id="37"/>
    <w:bookmarkStart w:id="42" w:name="calchandler-の呼び出し元"/>
    <w:p>
      <w:pPr>
        <w:pStyle w:val="3"/>
      </w:pPr>
      <w:r>
        <w:t xml:space="preserve">calcHandler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085850" cy="1409700"/>
            <wp:effectExtent b="0" l="0" r="0" t="0"/>
            <wp:docPr descr="calcHandler の呼び出し元" title="" id="39" name="Picture"/>
            <a:graphic>
              <a:graphicData uri="http://schemas.openxmlformats.org/drawingml/2006/picture">
                <pic:pic>
                  <pic:nvPicPr>
                    <pic:cNvPr descr="puml_5160b7437d86835eba9f9092f36ef2ff3ddb9556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</w:t>
      </w:r>
      <w:r>
        <w:rPr>
          <w:rFonts w:hint="eastAsia"/>
        </w:rPr>
        <w:t xml:space="preserve">の呼び出し元</w:t>
      </w:r>
    </w:p>
    <w:bookmarkEnd w:id="42"/>
    <w:bookmarkStart w:id="43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bookmarkEnd w:id="43"/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20" Target="media/rId20.svg" /><Relationship Type="http://schemas.openxmlformats.org/officeDocument/2006/relationships/image" Id="rId38" Target="media/rId38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calc/libsrc/calc/calcHandler.c</dc:title>
  <dc:creator>doxygen and doxybook2</dc:creator>
  <cp:keywords/>
  <dcterms:created xsi:type="dcterms:W3CDTF">2026-02-22T02:35:54Z</dcterms:created>
  <dcterms:modified xsi:type="dcterms:W3CDTF">2026-02-22T02:35:54Z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calcHandler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