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7.png" ContentType="image/png"/>
  <Override PartName="/word/media/rId23.png" ContentType="image/png"/>
  <Override PartName="/word/media/rId35.png" ContentType="image/png"/>
  <Override PartName="/word/media/rId32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calc/src/calc/calc.c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calcsrccalccalc.c"/>
    <w:p>
      <w:pPr>
        <w:pStyle w:val="2"/>
      </w:pPr>
      <w:r>
        <w:t xml:space="preserve">calc/src/calc/calc.c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calc.c-のインクルード依存"/>
    <w:p>
      <w:pPr>
        <w:pStyle w:val="3"/>
      </w:pPr>
      <w:r>
        <w:t xml:space="preserve">calc.c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3162300" cy="2343150"/>
            <wp:effectExtent b="0" l="0" r="0" t="0"/>
            <wp:docPr descr="calc.c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6e65e05d3d3d6d5fc52186aea9973e226e81b992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calc.c </w:t>
      </w:r>
      <w:r>
        <w:rPr>
          <w:rFonts w:hint="eastAsia"/>
        </w:rPr>
        <w:t xml:space="preserve">のインクルード依存</w:t>
      </w:r>
    </w:p>
    <w:bookmarkEnd w:id="24"/>
    <w:bookmarkStart w:id="25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つの整数と演算子を受け取り、calcHandler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計算結果を標準出力に出力します。</w:t>
      </w:r>
    </w:p>
    <w:bookmarkEnd w:id="25"/>
    <w:bookmarkStart w:id="26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6"/>
    <w:bookmarkEnd w:id="27"/>
    <w:bookmarkEnd w:id="28"/>
    <w:bookmarkStart w:id="42" w:name="関数"/>
    <w:p>
      <w:pPr>
        <w:pStyle w:val="10"/>
      </w:pPr>
      <w:r>
        <w:rPr>
          <w:rFonts w:hint="eastAsia"/>
        </w:rPr>
        <w:t xml:space="preserve">関数</w:t>
      </w:r>
    </w:p>
    <w:bookmarkStart w:id="41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9"/>
    <w:bookmarkStart w:id="3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30"/>
    <w:bookmarkStart w:id="31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31"/>
    <w:bookmarkStart w:id="36" w:name="main-のコールグラフ"/>
    <w:p>
      <w:pPr>
        <w:pStyle w:val="3"/>
      </w:pPr>
      <w:r>
        <w:t xml:space="preserve">main のコールグラフ</w:t>
      </w:r>
    </w:p>
    <w:p>
      <w:pPr>
        <w:pStyle w:val="CaptionedFigure"/>
      </w:pPr>
      <w:r>
        <w:drawing>
          <wp:inline>
            <wp:extent cx="6108700" cy="1151703"/>
            <wp:effectExtent b="0" l="0" r="0" t="0"/>
            <wp:docPr descr="main のコールグラフ" title="" id="33" name="Picture"/>
            <a:graphic>
              <a:graphicData uri="http://schemas.openxmlformats.org/drawingml/2006/picture">
                <pic:pic>
                  <pic:nvPicPr>
                    <pic:cNvPr descr="puml_3124cf9b4b5952334a799d692d4f5b42e9719c50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151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のコールグラフ</w:t>
      </w:r>
    </w:p>
    <w:bookmarkEnd w:id="36"/>
    <w:bookmarkStart w:id="40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以下に、calc</w:t>
      </w:r>
      <w:r>
        <w:t xml:space="preserve"> </w:t>
      </w:r>
      <w:r>
        <w:rPr>
          <w:rFonts w:hint="eastAsia"/>
        </w:rPr>
        <w:t xml:space="preserve">コマンドの処理フローを示します。</w:t>
      </w:r>
    </w:p>
    <w:p>
      <w:pPr>
        <w:pStyle w:val="CaptionedFigure"/>
      </w:pPr>
      <w:r>
        <w:drawing>
          <wp:inline>
            <wp:extent cx="5380522" cy="2300437"/>
            <wp:effectExtent b="0" l="0" r="0" t="0"/>
            <wp:docPr descr="calc コマンドの処理フロー" title="" id="38" name="Picture"/>
            <a:graphic>
              <a:graphicData uri="http://schemas.openxmlformats.org/drawingml/2006/picture">
                <pic:pic>
                  <pic:nvPicPr>
                    <pic:cNvPr descr="../images/calc-flow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522" cy="23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 </w:t>
      </w:r>
      <w:r>
        <w:rPr>
          <w:rFonts w:hint="eastAsia"/>
        </w:rPr>
        <w:t xml:space="preserve">コマンドの処理フロー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40"/>
    <w:bookmarkEnd w:id="41"/>
    <w:bookmarkEnd w:id="4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37" Target="media/rId37.png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32" Target="media/rId32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calc/src/calc/calc.c</dc:title>
  <dc:creator>doxygen and doxybook2</dc:creator>
  <cp:keywords/>
  <dcterms:created xsi:type="dcterms:W3CDTF">2026-02-22T02:35:56Z</dcterms:created>
  <dcterms:modified xsi:type="dcterms:W3CDTF">2026-02-22T02:35:56Z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