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1.png" ContentType="image/png"/>
  <Override PartName="/word/media/rId46.png" ContentType="image/png"/>
  <Override PartName="/word/media/rId43.svg" ContentType="image/svg+xml"/>
  <Override PartName="/word/media/rId20.svg" ContentType="image/svg+xml"/>
  <Override PartName="/word/media/rId25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.h-のインクルード依存"/>
    <w:p>
      <w:pPr>
        <w:pStyle w:val="3"/>
      </w:pPr>
      <w:r>
        <w:t xml:space="preserve">libcalc.h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5a203bb9d0953709ab6625d50db929b625569c1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のインクルード依存</w:t>
      </w:r>
    </w:p>
    <w:bookmarkEnd w:id="24"/>
    <w:bookmarkStart w:id="29" w:name="libcalc.h-の被インクルード関係"/>
    <w:p>
      <w:pPr>
        <w:pStyle w:val="3"/>
      </w:pPr>
      <w:r>
        <w:t xml:space="preserve">libcalc.h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4229100" cy="1409700"/>
            <wp:effectExtent b="0" l="0" r="0" t="0"/>
            <wp:docPr descr="libcalc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7c7c8e767f65a2f85e18e7c5c39c8a94e29392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49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6"/>
    <w:bookmarkStart w:id="37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7"/>
    <w:bookmarkStart w:id="42" w:name="calchandler-のコールグラフ"/>
    <w:p>
      <w:pPr>
        <w:pStyle w:val="3"/>
      </w:pPr>
      <w:r>
        <w:t xml:space="preserve">calcHandler のコールグラフ</w:t>
      </w:r>
    </w:p>
    <w:p>
      <w:pPr>
        <w:pStyle w:val="CaptionedFigure"/>
      </w:pPr>
      <w:r>
        <w:drawing>
          <wp:inline>
            <wp:extent cx="6108700" cy="711319"/>
            <wp:effectExtent b="0" l="0" r="0" t="0"/>
            <wp:docPr descr="calcHandler のコールグラフ" title="" id="39" name="Picture"/>
            <a:graphic>
              <a:graphicData uri="http://schemas.openxmlformats.org/drawingml/2006/picture">
                <pic:pic>
                  <pic:nvPicPr>
                    <pic:cNvPr descr="puml_f07783e04ed5ba74da614ea1c3eb558e2cee4f71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1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のコールグラフ</w:t>
      </w:r>
    </w:p>
    <w:bookmarkEnd w:id="42"/>
    <w:bookmarkStart w:id="47" w:name="calchandler-の呼び出し元"/>
    <w:p>
      <w:pPr>
        <w:pStyle w:val="3"/>
      </w:pPr>
      <w:r>
        <w:t xml:space="preserve">calcHandler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085850" cy="1409700"/>
            <wp:effectExtent b="0" l="0" r="0" t="0"/>
            <wp:docPr descr="calcHandler の呼び出し元" title="" id="44" name="Picture"/>
            <a:graphic>
              <a:graphicData uri="http://schemas.openxmlformats.org/drawingml/2006/picture">
                <pic:pic>
                  <pic:nvPicPr>
                    <pic:cNvPr descr="puml_5160b7437d86835eba9f9092f36ef2ff3ddb9556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47"/>
    <w:bookmarkStart w:id="4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End w:id="48"/>
    <w:bookmarkEnd w:id="49"/>
    <w:bookmarkEnd w:id="50"/>
    <w:bookmarkStart w:id="5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bookmarkStart w:id="51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\_\_stdcall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51"/>
    <w:bookmarkEnd w:id="52"/>
    <w:bookmarkStart w:id="5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bookmarkStart w:id="53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\_\_INTELLISENSE\_\_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\_\_declspec(dllexport)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\_\_declspec(dllimport)</w:t>
            </w:r>
          </w:p>
        </w:tc>
      </w:tr>
    </w:tbl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43" Target="media/rId43.sv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2026-02-22T02:36:07Z</dcterms:created>
  <dcterms:modified xsi:type="dcterms:W3CDTF">2026-02-22T02:36:07Z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