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dad5d891a8061e1e6f088c5cb9cfefd98ad6850"/>
    <w:p>
      <w:pPr>
        <w:pStyle w:val="Heading1"/>
      </w:pPr>
      <w:r>
        <w:t xml:space="preserve">E-Panchayat IEEE paper: v18 change log, verification report and unresolved issues</w:t>
      </w:r>
    </w:p>
    <w:p>
      <w:pPr>
        <w:pStyle w:val="FirstParagraph"/>
      </w:pPr>
      <w:r>
        <w:t xml:space="preserve">Prepared alongside</w:t>
      </w:r>
      <w:r>
        <w:t xml:space="preserve"> </w:t>
      </w:r>
      <w:r>
        <w:rPr>
          <w:rStyle w:val="VerbatimChar"/>
        </w:rPr>
        <w:t xml:space="preserve">E-Panchayat-Research-Paper-IEEE-v18.docx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 Each item is tagged with the classification the revision brief asked for: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VC</w:t>
      </w:r>
      <w:r>
        <w:t xml:space="preserve">: verified correction (backed by the manuscript, the source code, executed tests or an authoritative source)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</w:t>
      </w:r>
      <w:r>
        <w:t xml:space="preserve">: evidence-dependent (needs repository access to the evaluated version, an external check or an experiment)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EI</w:t>
      </w:r>
      <w:r>
        <w:t xml:space="preserve">: editorial improvement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FW</w:t>
      </w:r>
      <w:r>
        <w:t xml:space="preserve">: proposed future work, not described as done</w:t>
      </w:r>
    </w:p>
    <w:p>
      <w:r>
        <w:pict>
          <v:rect style="width:0;height:1.5pt" o:hralign="center" o:hrstd="t" o:hr="t"/>
        </w:pict>
      </w:r>
    </w:p>
    <w:bookmarkStart w:id="20" w:name="Xfa993a5899631cde0cccea45915b9c1fbe5e41c"/>
    <w:p>
      <w:pPr>
        <w:pStyle w:val="Heading2"/>
      </w:pPr>
      <w:r>
        <w:t xml:space="preserve">0. The most important finding: the public repository does not match the paper</w:t>
      </w:r>
    </w:p>
    <w:p>
      <w:pPr>
        <w:pStyle w:val="FirstParagraph"/>
      </w:pPr>
      <w:r>
        <w:t xml:space="preserve">The paper was audited against</w:t>
      </w:r>
      <w:r>
        <w:t xml:space="preserve"> </w:t>
      </w:r>
      <w:r>
        <w:rPr>
          <w:rStyle w:val="VerbatimChar"/>
        </w:rPr>
        <w:t xml:space="preserve">Honey-Soni-05/E-Panchayat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f6d9d2b</w:t>
      </w:r>
      <w:r>
        <w:t xml:space="preserve"> </w:t>
      </w:r>
      <w:r>
        <w:t xml:space="preserve">(branches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claude/wizardly-cray-hntwci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claude/dreamy-edison-wzabm3</w:t>
      </w:r>
      <w:r>
        <w:t xml:space="preserve">, which all point to the same code). That snapshot is</w:t>
      </w:r>
      <w:r>
        <w:t xml:space="preserve"> </w:t>
      </w:r>
      <w:r>
        <w:rPr>
          <w:bCs/>
          <w:b/>
        </w:rPr>
        <w:t xml:space="preserve">older than the system v17 describes</w:t>
      </w:r>
      <w:r>
        <w:t xml:space="preserve">. Several components and figures the paper reports cannot be found in it: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v17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commit f6d9d2b contains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634 automated regression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295 tests collected, 295 passed</w:t>
            </w:r>
            <w:r>
              <w:t xml:space="preserve"> </w:t>
            </w:r>
            <w:r>
              <w:t xml:space="preserve">(run in this session, Python 3.13, SQLite)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 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 router endpoints +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= 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8-stage work lifecycle, ledger with 5 entry kinds, 7 funding sources, asset registration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status ∈ {Ongoing, Completed, Delayed}</w:t>
            </w:r>
            <w:r>
              <w:t xml:space="preserve">, a</w:t>
            </w:r>
            <w:r>
              <w:t xml:space="preserve"> </w:t>
            </w:r>
            <w:r>
              <w:rPr>
                <w:rStyle w:val="VerbatimChar"/>
              </w:rPr>
              <w:t xml:space="preserve">budget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rStyle w:val="VerbatimChar"/>
              </w:rPr>
              <w:t xml:space="preserve">utilized</w:t>
            </w:r>
            <w:r>
              <w:t xml:space="preserve"> </w:t>
            </w:r>
            <w:r>
              <w:t xml:space="preserve">field. No stages, ledger or asset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grievances, 6 works, 20 ledger entries, 7 linked grievances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grievances, 4 projects, no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 indexed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(29 schemes, 23 villages, 5 grievances, 4 projects, 5 facilities, 1 meeting)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screen before embedding (Control 2), 8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Absent.</w:t>
            </w:r>
            <w:r>
              <w:t xml:space="preserve"> </w:t>
            </w:r>
            <w:r>
              <w:rPr>
                <w:rStyle w:val="VerbatimChar"/>
              </w:rPr>
              <w:t xml:space="preserve">gather_semantic()</w:t>
            </w:r>
            <w:r>
              <w:t xml:space="preserve"> </w:t>
            </w:r>
            <w:r>
              <w:t xml:space="preserve">embeds the question unconditionally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type (service/development), quantity extraction, grouping, count-based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from</w:t>
            </w:r>
            <w:r>
              <w:t xml:space="preserve"> </w:t>
            </w:r>
            <w:r>
              <w:rPr>
                <w:rStyle w:val="VerbatimChar"/>
              </w:rPr>
              <w:t xml:space="preserve">services/classifier.py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vocabulary of 30 document types in 9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Absent. Documents are matched by normalised substring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Household head as a relation, enforced by a partial unique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  <w:r>
              <w:t xml:space="preserve"> </w:t>
            </w:r>
            <w:r>
              <w:rPr>
                <w:rStyle w:val="VerbatimChar"/>
              </w:rPr>
              <w:t xml:space="preserve">is_head</w:t>
            </w:r>
            <w:r>
              <w:t xml:space="preserve"> </w:t>
            </w:r>
            <w:r>
              <w:t xml:space="preserve">flag.</w:t>
            </w:r>
            <w:r>
              <w:t xml:space="preserve"> </w:t>
            </w:r>
            <w:r>
              <w:rPr>
                <w:bCs/>
                <w:b/>
              </w:rPr>
              <w:t xml:space="preserve">9 of 10 residents are flagged as head</w:t>
            </w:r>
            <w:r>
              <w:t xml:space="preserve">, exactly the defect v17 says was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Disjunctive branch that fails on a recorded fact is not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 still present in</w:t>
            </w:r>
            <w:r>
              <w:t xml:space="preserve"> </w:t>
            </w:r>
            <w:r>
              <w:rPr>
                <w:rStyle w:val="VerbatimChar"/>
              </w:rPr>
              <w:t xml:space="preserve">evaluate()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any(r.unknown ...)</w:t>
            </w:r>
            <w:r>
              <w:t xml:space="preserve"> </w:t>
            </w:r>
            <w:r>
              <w:t xml:space="preserve">checked before failures)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IGNDPS 80%, NMMSS ₹3.5 lakh, Niradhar disability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Encoded as 40%, ₹1.5 lakh, and no disability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71-case complaint benchmark, 26-question retrieval set, evaluation and latency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in the repository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Reconciliation that supports the paper:</w:t>
      </w:r>
      <w:r>
        <w:t xml:space="preserve"> </w:t>
      </w:r>
      <w:r>
        <w:t xml:space="preserve">running the engine at</w:t>
      </w:r>
      <w:r>
        <w:t xml:space="preserve"> </w:t>
      </w:r>
      <w:r>
        <w:rPr>
          <w:rStyle w:val="VerbatimChar"/>
        </w:rPr>
        <w:t xml:space="preserve">f6d9d2b</w:t>
      </w:r>
      <w:r>
        <w:t xml:space="preserve"> </w:t>
      </w:r>
      <w:r>
        <w:t xml:space="preserve">over all 290 pairs gives</w:t>
      </w:r>
      <w:r>
        <w:t xml:space="preserve"> </w:t>
      </w:r>
      <w:r>
        <w:rPr>
          <w:bCs/>
          <w:b/>
        </w:rPr>
        <w:t xml:space="preserve">179 Ineligible / 67 Missing Documents / 37 Needs Review / 7 Eligible</w:t>
      </w:r>
      <w:r>
        <w:t xml:space="preserve">. Apply the corrections v17 describes (document vocabulary: 2 pairs Missing Documents → Eligible; IGNDPS 80%: 1 pair Missing Documents → Ineligible) and you get</w:t>
      </w:r>
      <w:r>
        <w:t xml:space="preserve"> </w:t>
      </w:r>
      <w:r>
        <w:rPr>
          <w:bCs/>
          <w:b/>
        </w:rPr>
        <w:t xml:space="preserve">180 / 64 / 37 / 9</w:t>
      </w:r>
      <w:r>
        <w:t xml:space="preserve">, exactly v17’s Table 3. So the reported numbers look consistent with a later version of the code that was never pushed. The internal split of Needs Review (v17: 25 review-flag + 12 unknown;</w:t>
      </w:r>
      <w:r>
        <w:t xml:space="preserve"> </w:t>
      </w:r>
      <w:r>
        <w:rPr>
          <w:rStyle w:val="VerbatimChar"/>
        </w:rPr>
        <w:t xml:space="preserve">f6d9d2b</w:t>
      </w:r>
      <w:r>
        <w:t xml:space="preserve">: 24 + 13) could not be reproduced.</w:t>
      </w:r>
    </w:p>
    <w:p>
      <w:pPr>
        <w:pStyle w:val="BodyText"/>
      </w:pPr>
      <w:r>
        <w:rPr>
          <w:bCs/>
          <w:b/>
        </w:rPr>
        <w:t xml:space="preserve">Required action before submission:</w:t>
      </w:r>
      <w:r>
        <w:t xml:space="preserve"> </w:t>
      </w:r>
      <w:r>
        <w:t xml:space="preserve">push the version used for the evaluation, together with the benchmarks and evaluation scripts, and put its commit hash in the</w:t>
      </w:r>
      <w:r>
        <w:t xml:space="preserve"> </w:t>
      </w:r>
      <w:r>
        <w:rPr>
          <w:iCs/>
          <w:i/>
        </w:rPr>
        <w:t xml:space="preserve">Artifact availability</w:t>
      </w:r>
      <w:r>
        <w:t xml:space="preserve"> </w:t>
      </w:r>
      <w:r>
        <w:t xml:space="preserve">paragraph (Section IV). Until then every v18 statement that depends on that version is marked ED below. I kept the reported results rather than replacing them with the older snapshot’s figures, because they describe the system the paper is about.</w:t>
      </w:r>
    </w:p>
    <w:p>
      <w:r>
        <w:pict>
          <v:rect style="width:0;height:1.5pt" o:hralign="center" o:hrstd="t" o:hr="t"/>
        </w:pict>
      </w:r>
    </w:p>
    <w:bookmarkEnd w:id="20"/>
    <w:bookmarkStart w:id="21" w:name="deliverable-b-change-log"/>
    <w:p>
      <w:pPr>
        <w:pStyle w:val="Heading2"/>
      </w:pPr>
      <w:r>
        <w:t xml:space="preserve">Deliverable B: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/ section (v17)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correction in v18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 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keeps every resident record out of the search index and out of the prompt, so that the model may be shown the village and never a villager’s file</w:t>
            </w:r>
            <w:r>
              <w:t xml:space="preserve">”</w:t>
            </w:r>
            <w:r>
              <w:t xml:space="preserve"> </w:t>
            </w:r>
            <w:r>
              <w:t xml:space="preserve">overstates the protection: question text is still embedded and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Rewritten. Names the three controls, then says plainly:</w:t>
            </w:r>
            <w:r>
              <w:t xml:space="preserve"> </w:t>
            </w:r>
            <w:r>
              <w:t xml:space="preserve">“</w:t>
            </w:r>
            <w:r>
              <w:t xml:space="preserve">Other question text is still sent to the provider, so a resident described by attributes rather than named is not protected.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accuracy (Parts 2,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 §III-E itself;</w:t>
            </w:r>
            <w:r>
              <w:t xml:space="preserve"> </w:t>
            </w:r>
            <w:r>
              <w:rPr>
                <w:rStyle w:val="VerbatimChar"/>
              </w:rPr>
              <w:t xml:space="preserve">assistant.py</w:t>
            </w:r>
            <w:r>
              <w:t xml:space="preserve"> </w:t>
            </w:r>
            <w:r>
              <w:t xml:space="preserve">builds the prompt with</w:t>
            </w:r>
            <w:r>
              <w:t xml:space="preserve"> </w:t>
            </w:r>
            <w:r>
              <w:rPr>
                <w:rStyle w:val="VerbatimChar"/>
              </w:rPr>
              <w:t xml:space="preserve">QUESTION: {body.query}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llm.embed()</w:t>
            </w:r>
            <w:r>
              <w:t xml:space="preserve"> </w:t>
            </w:r>
            <w:r>
              <w:t xml:space="preserve">sends the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 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Scope, evaluation and limitations missing;</w:t>
            </w:r>
            <w:r>
              <w:t xml:space="preserve"> </w:t>
            </w:r>
            <w:r>
              <w:t xml:space="preserve">“</w:t>
            </w:r>
            <w:r>
              <w:t xml:space="preserve">intended to serve first</w:t>
            </w:r>
            <w:r>
              <w:t xml:space="preserve">”</w:t>
            </w:r>
            <w:r>
              <w:t xml:space="preserve"> </w:t>
            </w:r>
            <w:r>
              <w:t xml:space="preserve">could be read as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23 villages / 18 verified coordinates, 29 schemes, synthetic 10-person register,</w:t>
            </w:r>
            <w:r>
              <w:t xml:space="preserve"> </w:t>
            </w:r>
            <w:r>
              <w:t xml:space="preserve">“</w:t>
            </w:r>
            <w:r>
              <w:t xml:space="preserve">has not been deployed in any Panchayat</w:t>
            </w:r>
            <w:r>
              <w:t xml:space="preserve">”</w:t>
            </w:r>
            <w:r>
              <w:t xml:space="preserve">, key metrics, 11/29 checked, no officer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verified in</w:t>
            </w:r>
            <w:r>
              <w:t xml:space="preserve"> </w:t>
            </w:r>
            <w:r>
              <w:rPr>
                <w:rStyle w:val="VerbatimChar"/>
              </w:rPr>
              <w:t xml:space="preserve">villages_data.json</w:t>
            </w:r>
            <w:r>
              <w:t xml:space="preserve"> </w:t>
            </w:r>
            <w:r>
              <w:t xml:space="preserve">(23 villages, 18 with coordinates) and seed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 Index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separators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Normalised to an IEEE comma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 §I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Contributions implicit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contributions (i)–(iv) and a roadmap that matches the new section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 §I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E-Panchayat decides entitlement… safer and more accountable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makes each easier to inspect</w:t>
            </w:r>
            <w:r>
              <w:t xml:space="preserve">”</w:t>
            </w:r>
            <w:r>
              <w:t xml:space="preserve">. The unproven</w:t>
            </w:r>
            <w:r>
              <w:t xml:space="preserve"> </w:t>
            </w:r>
            <w:r>
              <w:t xml:space="preserve">“</w:t>
            </w:r>
            <w:r>
              <w:t xml:space="preserve">safer</w:t>
            </w:r>
            <w:r>
              <w:t xml:space="preserve">”</w:t>
            </w:r>
            <w:r>
              <w:t xml:space="preserve"> </w:t>
            </w:r>
            <w:r>
              <w:t xml:space="preserve">claim is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Unsupported superlative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p.2 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Kisan e-Mitra</w:t>
            </w:r>
            <w:r>
              <w:t xml:space="preserve"> </w:t>
            </w:r>
            <w:r>
              <w:t xml:space="preserve">“</w:t>
            </w:r>
            <w:r>
              <w:t xml:space="preserve">in eleven languages</w:t>
            </w:r>
            <w:r>
              <w:t xml:space="preserve">”</w:t>
            </w:r>
            <w:r>
              <w:t xml:space="preserve"> </w:t>
            </w:r>
            <w:r>
              <w:t xml:space="preserve">cited to a Sept 2023 PIB release; at launch the chatbot reportedly supported 5 languages and 11 only after a 2024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to</w:t>
            </w:r>
            <w:r>
              <w:t xml:space="preserve"> </w:t>
            </w:r>
            <w:r>
              <w:t xml:space="preserve">“</w:t>
            </w:r>
            <w:r>
              <w:t xml:space="preserve">several Indian languages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does not support the specific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search: Vikaspedia (5 at launch), Wadhwani AI (11 after Feb 2024). PIB 1959461 itself not retrieved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 (reference)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p.2 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  <w:r>
              <w:t xml:space="preserve"> </w:t>
            </w:r>
            <w:r>
              <w:t xml:space="preserve">“</w:t>
            </w:r>
            <w:r>
              <w:t xml:space="preserve">2006, 2015</w:t>
            </w:r>
            <w:r>
              <w:t xml:space="preserve">”</w:t>
            </w:r>
            <w:r>
              <w:t xml:space="preserve"> </w:t>
            </w:r>
            <w:r>
              <w:t xml:space="preserve">for CSC/UMANG/DigiLocker; UMANG launched in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2006–2017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Widely documented launch (Nov 2017). Not re-fetched in this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p.2 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claims (</w:t>
            </w:r>
            <w:r>
              <w:t xml:space="preserve">“</w:t>
            </w:r>
            <w:r>
              <w:t xml:space="preserve">does not handle citizen grievances…</w:t>
            </w:r>
            <w:r>
              <w:t xml:space="preserve">”</w:t>
            </w:r>
            <w:r>
              <w:t xml:space="preserve">) stated as 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renamed</w:t>
            </w:r>
            <w:r>
              <w:t xml:space="preserve"> </w:t>
            </w:r>
            <w:r>
              <w:t xml:space="preserve">“</w:t>
            </w:r>
            <w:r>
              <w:t xml:space="preserve">What it does not do (as documented)</w:t>
            </w:r>
            <w:r>
              <w:t xml:space="preserve">”</w:t>
            </w:r>
            <w:r>
              <w:t xml:space="preserve">; intro says the column reflects published descriptions as 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13: keep comparison tied to documented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p.2 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Heeks row:</w:t>
            </w:r>
            <w:r>
              <w:t xml:space="preserve"> </w:t>
            </w:r>
            <w:r>
              <w:t xml:space="preserve">“</w:t>
            </w:r>
            <w:r>
              <w:t xml:space="preserve">Password reset works over the office counter…</w:t>
            </w:r>
            <w:r>
              <w:t xml:space="preserve">”</w:t>
            </w:r>
            <w:r>
              <w:t xml:space="preserve"> </w:t>
            </w:r>
            <w:r>
              <w:t xml:space="preserve">read as a fact about Heeks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Reworded as E-Panchayat’s design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p.2–3 §III-A, Fig.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unnamed; data locations conflated; complaint free text sent to the provider not mentioned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the provider (Google Gemini API, embedding and generation). Separates five locations: database, index, question text, retrieved context, generation prompt. States that complaint titles and descriptions are embedded as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indexer._grievance_drafts()</w:t>
            </w:r>
            <w:r>
              <w:t xml:space="preserve"> </w:t>
            </w:r>
            <w:r>
              <w:t xml:space="preserve">embeds</w:t>
            </w:r>
            <w:r>
              <w:t xml:space="preserve"> </w:t>
            </w:r>
            <w:r>
              <w:rPr>
                <w:rStyle w:val="VerbatimChar"/>
              </w:rPr>
              <w:t xml:space="preserve">g.title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g.description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 </w:t>
            </w:r>
            <w:r>
              <w:rPr>
                <w:rStyle w:val="VerbatimChar"/>
              </w:rPr>
              <w:t xml:space="preserve">GEMINI_MODEL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GEMINI_EMBED_MODEL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EMBED_DIMENSIONS = 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(at f6d9d2b)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p.3 Fig.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box</w:t>
            </w:r>
            <w:r>
              <w:t xml:space="preserve"> </w:t>
            </w:r>
            <w:r>
              <w:t xml:space="preserve">“</w:t>
            </w:r>
            <w:r>
              <w:t xml:space="preserve">Never transmitted: resident names…</w:t>
            </w:r>
            <w:r>
              <w:t xml:space="preserve">”</w:t>
            </w:r>
            <w:r>
              <w:t xml:space="preserve"> </w:t>
            </w:r>
            <w:r>
              <w:t xml:space="preserve">was too broad;</w:t>
            </w:r>
            <w:r>
              <w:t xml:space="preserve"> </w:t>
            </w:r>
            <w:r>
              <w:t xml:space="preserve">“</w:t>
            </w:r>
            <w:r>
              <w:t xml:space="preserve">22 screens</w:t>
            </w:r>
            <w:r>
              <w:t xml:space="preserve">”</w:t>
            </w:r>
            <w:r>
              <w:t xml:space="preserve"> </w:t>
            </w:r>
            <w:r>
              <w:t xml:space="preserve">in the figure vs</w:t>
            </w:r>
            <w:r>
              <w:t xml:space="preserve"> </w:t>
            </w:r>
            <w:r>
              <w:t xml:space="preserve">“</w:t>
            </w:r>
            <w:r>
              <w:t xml:space="preserve">twenty-one</w:t>
            </w:r>
            <w:r>
              <w:t xml:space="preserve">”</w:t>
            </w:r>
            <w:r>
              <w:t xml:space="preserve"> </w:t>
            </w:r>
            <w:r>
              <w:t xml:space="preserve">in the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1 redrawn: what crosses (a, b, c), what stays inside, and a separate</w:t>
            </w:r>
            <w:r>
              <w:t xml:space="preserve"> </w:t>
            </w:r>
            <w:r>
              <w:t xml:space="preserve">“</w:t>
            </w:r>
            <w:r>
              <w:t xml:space="preserve">Not prevented</w:t>
            </w:r>
            <w:r>
              <w:t xml:space="preserve">”</w:t>
            </w:r>
            <w:r>
              <w:t xml:space="preserve"> </w:t>
            </w:r>
            <w:r>
              <w:t xml:space="preserve">box. Screen count removed from the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3, 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tools/figures.py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p.3 §III-B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order of those two steps is the whole guarantee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Recast as a design property exercised by tests, not a proof. Spells out citizen scope, link following limited to the scoped set, object-ID checks and aggregate scoping. Points to pending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graph._visible_chunks()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_expand()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deps.assert_can_access_village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analytics._in_village()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test_village_isolation.py</w:t>
            </w:r>
            <w:r>
              <w:t xml:space="preserve"> </w:t>
            </w:r>
            <w:r>
              <w:t xml:space="preserve">(24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(at f6d9d2b)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p.3 §III-C eq. + Algorithm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1 not recursive; line 3 (</w:t>
            </w:r>
            <w:r>
              <w:t xml:space="preserve">“</w:t>
            </w:r>
            <w:r>
              <w:t xml:space="preserve">combine members by OR</w:t>
            </w:r>
            <w:r>
              <w:t xml:space="preserve">”</w:t>
            </w:r>
            <w:r>
              <w:t xml:space="preserve">) was undefined for nested groups; lines 4–5 then applied to the group itself; manual review mixed with unknowns; prose, equation and algorithm described different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formal model: eq. (2) leaf semantics, (3)–(4) strong Kleene AND/OR, (5) manual-review cap min(v, U), (6) verdict with Δ kept separate. Algorithm 1 rewritten as a recursive Eval matching (2)–(6). Prose rewritten to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verified by hand. Equivalent to v17’s rule for the 29 schemes as encoded (review flags only at scheme level; verified in seed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p.3 §III-C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attributes: rule not stated for income/BPL/SECC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Adds: an implementation must return Unknown rather than substitute defaults. States that income, BPL, SECC, occupation and ward are recorded for all 10 synthetic residents, so Table 3 is unaffected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Seed-data null counts computed.</w:t>
            </w:r>
            <w:r>
              <w:t xml:space="preserve"> </w:t>
            </w:r>
            <w:r>
              <w:rPr>
                <w:bCs/>
                <w:b/>
              </w:rPr>
              <w:t xml:space="preserve">Code at f6d9d2b violates this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income or 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not citizen.is_bpl</w:t>
            </w:r>
            <w:r>
              <w:t xml:space="preserve"> </w:t>
            </w:r>
            <w:r>
              <w:t xml:space="preserve">fails on null). See 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(paper) / ED (evaluated 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p.3–4 §III-D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be read as the system determining relationships;</w:t>
            </w:r>
            <w:r>
              <w:t xml:space="preserve"> </w:t>
            </w:r>
            <w:r>
              <w:t xml:space="preserve">“</w:t>
            </w:r>
            <w:r>
              <w:t xml:space="preserve">exactly one head</w:t>
            </w:r>
            <w:r>
              <w:t xml:space="preserve">”</w:t>
            </w:r>
            <w:r>
              <w:t xml:space="preserve"> </w:t>
            </w:r>
            <w:r>
              <w:t xml:space="preserve">conflicts with</w:t>
            </w:r>
            <w:r>
              <w:t xml:space="preserve"> </w:t>
            </w:r>
            <w:r>
              <w:t xml:space="preserve">“</w:t>
            </w:r>
            <w:r>
              <w:t xml:space="preserve">household with no head on record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 most one head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the system never elects or infers a head or a relationship</w:t>
            </w:r>
            <w:r>
              <w:t xml:space="preserve">”</w:t>
            </w:r>
            <w:r>
              <w:t xml:space="preserve">; relations entered by the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 text; 9-of-10 heads defect confirmed at f6d9d2b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(defect) / ED (fix)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p.4 §III-E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Three mechanisms… enforce the boundary independently</w:t>
            </w:r>
            <w:r>
              <w:t xml:space="preserve">”</w:t>
            </w:r>
            <w:r>
              <w:t xml:space="preserve"> </w:t>
            </w:r>
            <w:r>
              <w:t xml:space="preserve">with uneven 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names (Control 1 index exclusion, Control 2 name screen, Control 3 personal-fact gate); purpose and gaps of each; shared gap (descriptive identification) stated in its own paragraph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 text; f6d9d2b code for Controls 1 and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(1, 3) / ED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p.4 §III-E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Name-screen limitations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transliteration variants, nicknames/aliases, false positives on place names;</w:t>
            </w:r>
            <w:r>
              <w:t xml:space="preserve"> </w:t>
            </w:r>
            <w:r>
              <w:t xml:space="preserve">“</w:t>
            </w:r>
            <w:r>
              <w:t xml:space="preserve">neither error rate has been measured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p.4 §III-E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Top-k and link limits not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t xml:space="preserve">“</w:t>
            </w:r>
            <w:r>
              <w:t xml:space="preserve">at most six direct matches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up to three linked neighbours per match</w:t>
            </w:r>
            <w:r>
              <w:t xml:space="preserve">”</w:t>
            </w:r>
            <w:r>
              <w:t xml:space="preserve">, and that τ was not validated on any other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semantic_search(limit=6)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EXPAND_PER_HIT = 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MIN_SIMILARITY = 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p.4–5 §III-F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priority, ties, Other default, quantity limits and grouping heuristic under-specified;</w:t>
            </w:r>
            <w:r>
              <w:t xml:space="preserve"> </w:t>
            </w:r>
            <w:r>
              <w:t xml:space="preserve">“</w:t>
            </w:r>
            <w:r>
              <w:t xml:space="preserve">the count suffices</w:t>
            </w:r>
            <w:r>
              <w:t xml:space="preserve">”</w:t>
            </w:r>
            <w:r>
              <w:t xml:space="preserve"> </w:t>
            </w:r>
            <w:r>
              <w:t xml:space="preserve">implied that frequency equals urgency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Specifies max-hit category, tie rule, Other default, baseline priority from escalation terms and category defaults, +1 at 3 / +2 at 5 capped at High, Critical only by danger terms. Adds</w:t>
            </w:r>
            <w:r>
              <w:t xml:space="preserve"> </w:t>
            </w:r>
            <w:r>
              <w:t xml:space="preserve">“</w:t>
            </w:r>
            <w:r>
              <w:t xml:space="preserve">count measures how widely a problem is felt, not how severe</w:t>
            </w:r>
            <w:r>
              <w:t xml:space="preserve">”</w:t>
            </w:r>
            <w:r>
              <w:t xml:space="preserve">. Grouping called a heuristic with unmeasured precision and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classifier.py</w:t>
            </w:r>
            <w:r>
              <w:t xml:space="preserve"> </w:t>
            </w:r>
            <w:r>
              <w:t xml:space="preserve">(category, priority, Critical/High/Low terms) at f6d9d2b. Grouping and quantity rules from v17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/ 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p.5 §III-G, Fig.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2 omitted Rejected and On Hold; legend text truncated (</w:t>
            </w:r>
            <w:r>
              <w:t xml:space="preserve">“</w:t>
            </w:r>
            <w:r>
              <w:t xml:space="preserve">officer decisi</w:t>
            </w:r>
            <w:r>
              <w:t xml:space="preserve">”</w:t>
            </w:r>
            <w:r>
              <w:t xml:space="preserve">); asset/completion distinction blurred;</w:t>
            </w:r>
            <w:r>
              <w:t xml:space="preserve"> </w:t>
            </w:r>
            <w:r>
              <w:t xml:space="preserve">“</w:t>
            </w:r>
            <w:r>
              <w:t xml:space="preserve">the two can never disagree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2 redrawn with side states, a full legend and a reason requirement. Text separates officer decisions from money entries and completion from asset registration, and states that no money or construction is independently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 text. Lifecycle code not in public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p.5 Fig.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fine; embedding failure path and gap note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3 redrawn: embedding marked as</w:t>
            </w:r>
            <w:r>
              <w:t xml:space="preserve"> </w:t>
            </w:r>
            <w:r>
              <w:t xml:space="preserve">“</w:t>
            </w:r>
            <w:r>
              <w:t xml:space="preserve">question leaves the deployment</w:t>
            </w:r>
            <w:r>
              <w:t xml:space="preserve">”</w:t>
            </w:r>
            <w:r>
              <w:t xml:space="preserve">, embedding-failure fallback, τ and link limit, Gate 1 limitation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3,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in</w:t>
            </w:r>
            <w:r>
              <w:t xml:space="preserve"> </w:t>
            </w:r>
            <w:r>
              <w:rPr>
                <w:rStyle w:val="VerbatimChar"/>
              </w:rPr>
              <w:t xml:space="preserve">gather_semantic()</w:t>
            </w:r>
            <w:r>
              <w:t xml:space="preserve">; retries</w:t>
            </w:r>
            <w:r>
              <w:t xml:space="preserve"> </w:t>
            </w:r>
            <w:r>
              <w:rPr>
                <w:rStyle w:val="VerbatimChar"/>
              </w:rPr>
              <w:t xml:space="preserve">RETRY_DELAYS=(0.6,1.8)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p.5–6 §IV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twenty-one screens</w:t>
            </w:r>
            <w:r>
              <w:t xml:space="preserve">”</w:t>
            </w:r>
            <w:r>
              <w:t xml:space="preserve"> </w:t>
            </w:r>
            <w:r>
              <w:t xml:space="preserve">vs Fig. 1</w:t>
            </w:r>
            <w:r>
              <w:t xml:space="preserve"> </w:t>
            </w:r>
            <w:r>
              <w:t xml:space="preserve">“</w:t>
            </w:r>
            <w:r>
              <w:t xml:space="preserve">22 screens</w:t>
            </w:r>
            <w:r>
              <w:t xml:space="preserve">”</w:t>
            </w:r>
            <w:r>
              <w:t xml:space="preserve">; 76 endpoints 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keeps 21 (figure no longer states a count); endpoints</w:t>
            </w:r>
            <w:r>
              <w:t xml:space="preserve"> </w:t>
            </w:r>
            <w:r>
              <w:t xml:space="preserve">“</w:t>
            </w:r>
            <w:r>
              <w:t xml:space="preserve">in the evaluated version</w:t>
            </w:r>
            <w:r>
              <w:t xml:space="preserve">”</w:t>
            </w:r>
            <w:r>
              <w:t xml:space="preserve">.</w:t>
            </w:r>
            <w:r>
              <w:t xml:space="preserve"> </w:t>
            </w:r>
            <w:r>
              <w:rPr>
                <w:iCs/>
                <w:i/>
              </w:rPr>
              <w:t xml:space="preserve">Artifact availability</w:t>
            </w:r>
            <w:r>
              <w:t xml:space="preserve"> </w:t>
            </w:r>
            <w:r>
              <w:t xml:space="preserve">paragraph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Consistency, 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repo: 67 endpoints, 21 component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p.6 §V-A, Table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grievances and the 71-case benchmark could be confused; label provenance not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2 adds</w:t>
            </w:r>
            <w:r>
              <w:t xml:space="preserve"> </w:t>
            </w:r>
            <w:r>
              <w:t xml:space="preserve">“</w:t>
            </w:r>
            <w:r>
              <w:t xml:space="preserve">(separate from the 15 grievances)</w:t>
            </w:r>
            <w:r>
              <w:t xml:space="preserve">”</w:t>
            </w:r>
            <w:r>
              <w:t xml:space="preserve">, sub-rows,</w:t>
            </w:r>
            <w:r>
              <w:t xml:space="preserve"> </w:t>
            </w:r>
            <w:r>
              <w:t xml:space="preserve">“</w:t>
            </w:r>
            <w:r>
              <w:t xml:space="preserve">one recorded head each</w:t>
            </w:r>
            <w:r>
              <w:t xml:space="preserve">”</w:t>
            </w:r>
            <w:r>
              <w:t xml:space="preserve">. Text adds who assigned labels and that no agreement was 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p.6 Table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be read as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Caption:</w:t>
            </w:r>
            <w:r>
              <w:t xml:space="preserve"> </w:t>
            </w:r>
            <w:r>
              <w:t xml:space="preserve">“</w:t>
            </w:r>
            <w:r>
              <w:t xml:space="preserve">distribution, not an accuracy measure</w:t>
            </w:r>
            <w:r>
              <w:t xml:space="preserve">”</w:t>
            </w:r>
            <w:r>
              <w:t xml:space="preserve">; Total row added; corrections made post hoc on the same register now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Arithmetic: 180+64+37+9=290; 62.07/22.07/12.76/3.10%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p.7 §V-B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Niradhar age conflict: affected cases not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that one synthetic resident is exactly 65, so one of 290 verdicts depends on the unresolved rule; such cases should go to an officer (not yet automatic)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Seed: Lata Shinde, age 65, BPL. District portals:</w:t>
            </w:r>
            <w:r>
              <w:t xml:space="preserve"> </w:t>
            </w:r>
            <w:r>
              <w:t xml:space="preserve">“</w:t>
            </w:r>
            <w:r>
              <w:t xml:space="preserve">below 65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18–65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p.7 §V-B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Scheme corrections lacked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NMMSS ₹3.5 lakh cited to the MoE scheme page [33]; IGNDPS 80% cited to NSAP [34]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Web: MoE NMMSS page confirms ₹3,50,000; Bihar govt portal + others confirm 80%, 18–79, BPL; district portals confirm ₹21,000 / ₹50,000 (disabled)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(facts) / ED (URL access)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(new) Appendix Table 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per-scheme validation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29-row table: encoded criteria, source, status (Checked / Review / Not re-verified), outstanding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 from</w:t>
            </w:r>
            <w:r>
              <w:t xml:space="preserve"> </w:t>
            </w:r>
            <w:r>
              <w:rPr>
                <w:rStyle w:val="VerbatimChar"/>
              </w:rPr>
              <w:t xml:space="preserve">seed_data.json</w:t>
            </w:r>
            <w:r>
              <w:t xml:space="preserve">, adjusted for the 3 reported corrections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(encodings) / ED (status of the other 8 of the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p.7 Table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Request-type figure 0.986 shown in the F1 column; it is accuracy (70/71)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 a table note as accuracy. TP/FN/FP columns derived; macro-average row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Recomputed: TP=14,9,7,8,6,8 (Σ52); predictions Σ71; macro-F1 = 0.7344; macro-P 0.804; macro-R 0.739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p.7 §V-C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Three causes account for nearly all</w:t>
            </w:r>
            <w:r>
              <w:t xml:space="preserve">”</w:t>
            </w:r>
            <w:r>
              <w:t xml:space="preserve"> </w:t>
            </w:r>
            <w:r>
              <w:t xml:space="preserve">without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Derived: 19 errors = 12 defaults to Other + 7 cross-category (3→Water, 3→Roads, 1→Sanitation). States that a full confusion matrix needs per-item 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from Table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p.7 §V-C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Marathi example: only रस्ता noted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that खड्डे does not contain खड्डा 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p.7–8 §V-D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Routing: correct framing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Kept. Wording tightened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 §V-E, Table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loosely defined;</w:t>
            </w:r>
            <w:r>
              <w:t xml:space="preserve"> </w:t>
            </w:r>
            <w:r>
              <w:t xml:space="preserve">“</w:t>
            </w:r>
            <w:r>
              <w:t xml:space="preserve">Found overall</w:t>
            </w:r>
            <w:r>
              <w:t xml:space="preserve">”</w:t>
            </w:r>
            <w:r>
              <w:t xml:space="preserve"> </w:t>
            </w:r>
            <w:r>
              <w:t xml:space="preserve">read as recall; MRR change from link following unexplained although</w:t>
            </w:r>
            <w:r>
              <w:t xml:space="preserve"> </w:t>
            </w:r>
            <w:r>
              <w:t xml:space="preserve">“</w:t>
            </w:r>
            <w:r>
              <w:t xml:space="preserve">it never reorders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definitions of P@k, R@5, MRR and found overall with L(q), A(q); found overall named as variable-size recall; explains the +0.006 MRR (first hit at rank 6–7 for about one question); notes 1/26 ≈ 0.038 granularity and that no significance test was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Arithmetic: 0.904−0.865 ≈ 1/26; 1/6/26 = 0.0064, 1/7/26 = 0.0055; 0.949−0.904 = 0.045; 4.58−3.62 = 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(arithmetic) / ED (definitions must match the script)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 §V-F, Table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unauthorised retrieval rate of zero</w:t>
            </w:r>
            <w:r>
              <w:t xml:space="preserve">”</w:t>
            </w:r>
            <w:r>
              <w:t xml:space="preserve"> </w:t>
            </w:r>
            <w:r>
              <w:t xml:space="preserve">read as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bounded result for 104 query–role combinations over one synthetic block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6,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 §V-F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Regression, authorisation, name-screen, re-identification and privacy assessment used loosely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kinds of evidence defined and kept apart; re-identification and end-to-end privacy assessment marked as not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p.9 Table 7, Fig.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status implicit; financial-progress denominator not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  <w:r>
              <w:t xml:space="preserve"> </w:t>
            </w:r>
            <w:r>
              <w:t xml:space="preserve">“</w:t>
            </w:r>
            <w:r>
              <w:t xml:space="preserve">Not a real project, grant or payment</w:t>
            </w:r>
            <w:r>
              <w:t xml:space="preserve">”</w:t>
            </w:r>
            <w:r>
              <w:t xml:space="preserve">; financial progress defined as spent/approved; officer-recorded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14/20 = 70%; 2,80,000/3,50,000 = 80%; screenshot shows the same 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p.9 Table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Wrongdoing risk in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and text: gap is a prompt for review; ordinary explanations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Variances recomputed: +18, +10, +7, +4, −1,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p.10 Fig.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said</w:t>
            </w:r>
            <w:r>
              <w:t xml:space="preserve"> </w:t>
            </w:r>
            <w:r>
              <w:t xml:space="preserve">“</w:t>
            </w:r>
            <w:r>
              <w:t xml:space="preserve">what did not leave is the resident’s income, category and documents</w:t>
            </w:r>
            <w:r>
              <w:t xml:space="preserve">”</w:t>
            </w:r>
            <w:r>
              <w:t xml:space="preserve">. On-screen notice says</w:t>
            </w:r>
            <w:r>
              <w:t xml:space="preserve"> </w:t>
            </w:r>
            <w:r>
              <w:t xml:space="preserve">“</w:t>
            </w:r>
            <w:r>
              <w:t xml:space="preserve">never sent outside this system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and new §V-J say the notice is right for this answer but broader than the system supports, and that the wording should be narrowed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3, 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retrieval.plain_answer()</w:t>
            </w:r>
            <w:r>
              <w:t xml:space="preserve"> </w:t>
            </w:r>
            <w:r>
              <w:t xml:space="preserve">footer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p.10 §V-I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link following… 11.5 ms</w:t>
            </w:r>
            <w:r>
              <w:t xml:space="preserve">”</w:t>
            </w:r>
            <w:r>
              <w:t xml:space="preserve"> </w:t>
            </w:r>
            <w:r>
              <w:t xml:space="preserve">might be read as faster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t xml:space="preserve">“</w:t>
            </w:r>
            <w:r>
              <w:t xml:space="preserve">link following does strictly more work, so the lower mean does not show that it is faster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p.10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 of 634/126/24/8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126, 24 and 8 are subsets of the 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confirmed as a subset at f6d9d2b; others 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p.10 §V-J 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several required 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 as labelled paragraphs covering all 9 items from Part 11 plus post-hoc corrections and pending authorisation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p.10–11 §VI 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pattern generalises. Wherever a consequential outcome…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the model is never asked to reason about a person’s circumstances</w:t>
            </w:r>
            <w:r>
              <w:t xml:space="preserve">”</w:t>
            </w:r>
            <w:r>
              <w:t xml:space="preserve"> </w:t>
            </w:r>
            <w:r>
              <w:t xml:space="preserve">read as general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Conclusion limited to what was shown; lists what was not established; generalisation claim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p.11 §VII Future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Unordered; Aadhaar/DigiLocker/SMS could read as near-ready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priorities in the order given in Part 12; integrations explicitly</w:t>
            </w:r>
            <w:r>
              <w:t xml:space="preserve"> </w:t>
            </w:r>
            <w:r>
              <w:t xml:space="preserve">“</w:t>
            </w:r>
            <w:r>
              <w:t xml:space="preserve">none of these… exists</w:t>
            </w:r>
            <w:r>
              <w:t xml:space="preserve">”</w:t>
            </w:r>
            <w:r>
              <w:t xml:space="preserve">, subject to legal authorisation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has only a hashed Aadhaar number used as a login identifier, no UIDAI authentication and no SMS gateway (</w:t>
            </w:r>
            <w:r>
              <w:rPr>
                <w:rStyle w:val="VerbatimChar"/>
              </w:rPr>
              <w:t xml:space="preserve">notify.py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/ FW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p.11 Acknowledgement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Thanks Prof. Jyoti Gavhane, who is a co-author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(IEEE practice: co-authors are not acknowledged).</w:t>
            </w:r>
            <w:r>
              <w:t xml:space="preserve"> </w:t>
            </w:r>
            <w:r>
              <w:rPr>
                <w:bCs/>
                <w:b/>
              </w:rPr>
              <w:t xml:space="preserve">Authors to 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Refs [4]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https://pmayg.gov.in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https://pmayg.nic.in</w:t>
            </w:r>
            <w:r>
              <w:t xml:space="preserve">; access date removed until re-checked by the 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secondary sources name pmayg.nic.in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Refs 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MJPJAY attributed to</w:t>
            </w:r>
            <w:r>
              <w:t xml:space="preserve"> </w:t>
            </w:r>
            <w:r>
              <w:t xml:space="preserve">“</w:t>
            </w:r>
            <w:r>
              <w:t xml:space="preserve">Public Health Department</w:t>
            </w:r>
            <w:r>
              <w:t xml:space="preserve">”</w:t>
            </w:r>
            <w:r>
              <w:t xml:space="preserve">, URL</w:t>
            </w:r>
            <w:r>
              <w:t xml:space="preserve"> </w:t>
            </w:r>
            <w:r>
              <w:rPr>
                <w:rStyle w:val="VerbatimChar"/>
              </w:rPr>
              <w:t xml:space="preserve">phd.maharashtra.gov.in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State Health Assurance Society, Public Health Department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https://www.jeevandayee.gov.in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Refs [7],[9],[16],[21],[23]–[25],[27]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DOIs; some abbreviations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added; IEEE abbreviations (ACM Comput. Surveys, Nature Mach. Intell., Manage. Sci., etc.); Rudin issue no. 5; Ji Art. no. 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bibliographic records known to the editor;</w:t>
            </w:r>
            <w:r>
              <w:t xml:space="preserve"> </w:t>
            </w:r>
            <w:r>
              <w:rPr>
                <w:bCs/>
                <w:b/>
              </w:rPr>
              <w:t xml:space="preserve">not resolved online in this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Refs [17]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Inst. Develop. Policy Manage., Univ. Manchester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Refs (new) [26], [33], [34]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Provider, NMMSS and NSAP uncited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Gemini API docs, MoE NMMSS page, NSAP. No access date, because they were not opened directly in this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items 10,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Renumbered by first citation (generator enforces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style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build_docx.py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 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Roman numerals (TABLE I–VIII), appendix TABLE 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Long, sometimes rhetorical sentences (</w:t>
            </w:r>
            <w:r>
              <w:t xml:space="preserve">“</w:t>
            </w:r>
            <w:r>
              <w:t xml:space="preserve">Into this gap the language model arrives…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It should be resisted.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 in a plainer academic register, keeping the authors’ concrete examples (Diwali tap, widowed labourer, 30 complaints on one lane)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</w:tbl>
    <w:p>
      <w:pPr>
        <w:pStyle w:val="BodyText"/>
      </w:pPr>
      <w:r>
        <w:rPr>
          <w:bCs/>
          <w:b/>
        </w:rPr>
        <w:t xml:space="preserve">Claims removed, narrowed or qualified:</w:t>
      </w:r>
      <w:r>
        <w:t xml:space="preserve"> </w:t>
      </w:r>
      <w:r>
        <w:t xml:space="preserve">model</w:t>
      </w:r>
      <w:r>
        <w:t xml:space="preserve"> </w:t>
      </w:r>
      <w:r>
        <w:t xml:space="preserve">“</w:t>
      </w:r>
      <w:r>
        <w:t xml:space="preserve">never a villager’s file</w:t>
      </w:r>
      <w:r>
        <w:t xml:space="preserve">”</w:t>
      </w:r>
      <w:r>
        <w:t xml:space="preserve"> </w:t>
      </w:r>
      <w:r>
        <w:t xml:space="preserve">(narrowed);</w:t>
      </w:r>
      <w:r>
        <w:t xml:space="preserve"> </w:t>
      </w:r>
      <w:r>
        <w:t xml:space="preserve">“</w:t>
      </w:r>
      <w:r>
        <w:t xml:space="preserve">the whole guarantee</w:t>
      </w:r>
      <w:r>
        <w:t xml:space="preserve">”</w:t>
      </w:r>
      <w:r>
        <w:t xml:space="preserve"> </w:t>
      </w:r>
      <w:r>
        <w:t xml:space="preserve">(narrowed);</w:t>
      </w:r>
      <w:r>
        <w:t xml:space="preserve"> </w:t>
      </w:r>
      <w:r>
        <w:t xml:space="preserve">“</w:t>
      </w:r>
      <w:r>
        <w:t xml:space="preserve">safer and more accountable</w:t>
      </w:r>
      <w:r>
        <w:t xml:space="preserve">”</w:t>
      </w:r>
      <w:r>
        <w:t xml:space="preserve"> </w:t>
      </w:r>
      <w:r>
        <w:t xml:space="preserve">(removed);</w:t>
      </w:r>
      <w:r>
        <w:t xml:space="preserve"> </w:t>
      </w:r>
      <w:r>
        <w:t xml:space="preserve">“</w:t>
      </w:r>
      <w:r>
        <w:t xml:space="preserve">eleven languages</w:t>
      </w:r>
      <w:r>
        <w:t xml:space="preserve">”</w:t>
      </w:r>
      <w:r>
        <w:t xml:space="preserve"> </w:t>
      </w:r>
      <w:r>
        <w:t xml:space="preserve">(removed);</w:t>
      </w:r>
      <w:r>
        <w:t xml:space="preserve"> </w:t>
      </w:r>
      <w:r>
        <w:t xml:space="preserve">“</w:t>
      </w:r>
      <w:r>
        <w:t xml:space="preserve">The pattern generalises…</w:t>
      </w:r>
      <w:r>
        <w:t xml:space="preserve">”</w:t>
      </w:r>
      <w:r>
        <w:t xml:space="preserve"> </w:t>
      </w:r>
      <w:r>
        <w:t xml:space="preserve">(removed);</w:t>
      </w:r>
      <w:r>
        <w:t xml:space="preserve"> </w:t>
      </w:r>
      <w:r>
        <w:t xml:space="preserve">“</w:t>
      </w:r>
      <w:r>
        <w:t xml:space="preserve">the two can never disagree</w:t>
      </w:r>
      <w:r>
        <w:t xml:space="preserve">”</w:t>
      </w:r>
      <w:r>
        <w:t xml:space="preserve"> </w:t>
      </w:r>
      <w:r>
        <w:t xml:space="preserve">(narrowed to stage and ledger);</w:t>
      </w:r>
      <w:r>
        <w:t xml:space="preserve"> </w:t>
      </w:r>
      <w:r>
        <w:t xml:space="preserve">“</w:t>
      </w:r>
      <w:r>
        <w:t xml:space="preserve">badge is load-bearing</w:t>
      </w:r>
      <w:r>
        <w:t xml:space="preserve">”</w:t>
      </w:r>
      <w:r>
        <w:t xml:space="preserve"> </w:t>
      </w:r>
      <w:r>
        <w:t xml:space="preserve">(kept as reasoning, with the wording problem stated);</w:t>
      </w:r>
      <w:r>
        <w:t xml:space="preserve"> </w:t>
      </w:r>
      <w:r>
        <w:t xml:space="preserve">“</w:t>
      </w:r>
      <w:r>
        <w:t xml:space="preserve">zero unauthorised retrieval rate</w:t>
      </w:r>
      <w:r>
        <w:t xml:space="preserve">”</w:t>
      </w:r>
      <w:r>
        <w:t xml:space="preserve"> </w:t>
      </w:r>
      <w:r>
        <w:t xml:space="preserve">(bounded); request-type</w:t>
      </w:r>
      <w:r>
        <w:t xml:space="preserve"> </w:t>
      </w:r>
      <w:r>
        <w:t xml:space="preserve">“</w:t>
      </w:r>
      <w:r>
        <w:t xml:space="preserve">F1 0.986</w:t>
      </w:r>
      <w:r>
        <w:t xml:space="preserve">”</w:t>
      </w:r>
      <w:r>
        <w:t xml:space="preserve"> </w:t>
      </w:r>
      <w:r>
        <w:t xml:space="preserve">(relabelled as accuracy).</w:t>
      </w:r>
    </w:p>
    <w:p>
      <w:r>
        <w:pict>
          <v:rect style="width:0;height:1.5pt" o:hralign="center" o:hrstd="t" o:hr="t"/>
        </w:pict>
      </w:r>
    </w:p>
    <w:bookmarkEnd w:id="21"/>
    <w:bookmarkStart w:id="22" w:name="X526a76cc21056b899fb2c68b047dba114519069"/>
    <w:p>
      <w:pPr>
        <w:pStyle w:val="Heading2"/>
      </w:pPr>
      <w:r>
        <w:t xml:space="preserve">Deliverable C: unresolved issues and the evidence each needs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Evaluated code version is not in the public repository (Section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the code; tag the commit; insert the hash in §IV</w:t>
            </w:r>
            <w:r>
              <w:t xml:space="preserve"> </w:t>
            </w:r>
            <w:r>
              <w:rPr>
                <w:iCs/>
                <w:i/>
              </w:rPr>
              <w:t xml:space="preserve">Artifact availability</w:t>
            </w:r>
            <w:r>
              <w:t xml:space="preserve">; release the 71-complaint and 26-question benchmarks, labels, predictions and the evaluation and latency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634 / 126 / 8 test counts and pass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pytest --collect-only -q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on the evaluated commit; report collected/passed; confirm 126 and 8 are subsets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 endpoints, 21 screens, ~20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from the evaluated commit (e.g.,</w:t>
            </w:r>
            <w:r>
              <w:t xml:space="preserve"> </w:t>
            </w:r>
            <w:r>
              <w:rPr>
                <w:rStyle w:val="VerbatimChar"/>
              </w:rPr>
              <w:t xml:space="preserve">app.routes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Classifier metrics, full confusion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Per-complaint gold labels and predictions; recompute with a script; add a 6×6 confusion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metric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script uses a fixed-k denominator for P@k, the denominator for R@5, the role under which the 26 questions were run, and |Rel(q)| per question. If any differ, change the definitions, not the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Review split 25/12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Recompute on the evaluated commit (f6d9d2b gives 24/13)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Missing-value handling in the eligibility code (f6d9d2b: missing income → 0, i.e. passes ceilings; missing BPL/SECC → fail; missing occupation/ward → fail; failed-branch-with-unknown → Unknown; route-level</w:t>
            </w:r>
            <w:r>
              <w:t xml:space="preserve"> </w:t>
            </w:r>
            <w:r>
              <w:rPr>
                <w:rStyle w:val="VerbatimChar"/>
              </w:rPr>
              <w:t xml:space="preserve">manual_review</w:t>
            </w:r>
            <w:r>
              <w:t xml:space="preserve"> </w:t>
            </w:r>
            <w:r>
              <w:t xml:space="preserve">dropped)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evaluated code returns Unknown for every missing attribute, as eq. (2) states; add regression tests. The same defects should be fixed in the public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8 further schemes made up the</w:t>
            </w:r>
            <w:r>
              <w:t xml:space="preserve"> </w:t>
            </w:r>
            <w:r>
              <w:t xml:space="preserve">“</w:t>
            </w:r>
            <w:r>
              <w:t xml:space="preserve">eleven checked in detail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Authors’ records of the 11; update Table A1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 confirmation of all 29 schemes; Niradhar age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confirmation from the administering office or the current GR text with date; then encode the boundary rule or route age-65 cases to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Scheme criteria that may be outdated (MJPJAY coverage, AB-PMJAY expansions, PMUY categories, PM-KISAN exclusions, Ladki Bahin household limit, SBM-G APL groups)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GRs and guidelines with publication and effective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Name-screen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set of named and unnamed questions in Latin and Devanagari, with variants; report false positives and false negatives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Re-identification / descriptive-query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on a realistic synthetic register: what fraction of attribute combinations single out one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Authorisation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tests: pagination beyond the first page (</w:t>
            </w:r>
            <w:r>
              <w:rPr>
                <w:rStyle w:val="VerbatimChar"/>
              </w:rPr>
              <w:t xml:space="preserve">/citizens?limit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/audit?limit</w:t>
            </w:r>
            <w:r>
              <w:t xml:space="preserve">); every analytics endpoint per role; direct-object GET/PATCH/DELETE across villages for works, ledger entries, assets and meetings; link traversal through every API that returns related records; any export or bulk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set of states from which Rejected and On Hold can be entered, which transitions require a reason, which role can enter which money entry. Then update Fig. 2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 precision and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Labelled complaint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Generation-level ablation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judgements of correctness and groundedness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checks not done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all DOIs; open each government URL and record the access date; retrieve PIB 1959461 and confirm what it states; confirm pmayg.nic.in and jeevandayee.gov.in; confirm UMANG launch year; add access dates for [4], [6], [26], [33], [34]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data-use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 the provider’s current terms for the tier actually used (the intro says</w:t>
            </w:r>
            <w:r>
              <w:t xml:space="preserve"> </w:t>
            </w:r>
            <w:r>
              <w:t xml:space="preserve">“</w:t>
            </w:r>
            <w:r>
              <w:t xml:space="preserve">where a hosted service’s terms permit…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notice wording (</w:t>
            </w:r>
            <w:r>
              <w:t xml:space="preserve">“</w:t>
            </w:r>
            <w:r>
              <w:t xml:space="preserve">never sent outside this system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the interface text; replace the Fig. 5 screenshot afterwards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Acknowledgement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Authors to confirm that removing the thanks to a co-author is 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v18 runs to 14 pages including the appendix. If the venue limits length, move Table A1 to supplementary material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0" w:name="deliverable-d-verification-report"/>
    <w:p>
      <w:pPr>
        <w:pStyle w:val="Heading2"/>
      </w:pPr>
      <w:r>
        <w:t xml:space="preserve">Deliverable D: verification report</w:t>
      </w:r>
    </w:p>
    <w:bookmarkStart w:id="23" w:name="X8208510254ca5396b96acd3893068a060e083bb"/>
    <w:p>
      <w:pPr>
        <w:pStyle w:val="Heading3"/>
      </w:pPr>
      <w:r>
        <w:t xml:space="preserve">D.1 Claims verified from the manuscript (internal consistency)</w:t>
      </w:r>
    </w:p>
    <w:p>
      <w:pPr>
        <w:numPr>
          <w:ilvl w:val="0"/>
          <w:numId w:val="1002"/>
        </w:numPr>
        <w:pStyle w:val="Compact"/>
      </w:pPr>
      <w:r>
        <w:t xml:space="preserve">Table 2 sums: 29 + 23 + 15 + 6 + 5 + 1 = 79 chunks ✓. 5 service + 10 development = 15 ✓.</w:t>
      </w:r>
    </w:p>
    <w:p>
      <w:pPr>
        <w:numPr>
          <w:ilvl w:val="0"/>
          <w:numId w:val="1002"/>
        </w:numPr>
        <w:pStyle w:val="Compact"/>
      </w:pPr>
      <w:r>
        <w:t xml:space="preserve">Table 3: totals and percentages ✓.</w:t>
      </w:r>
    </w:p>
    <w:p>
      <w:pPr>
        <w:numPr>
          <w:ilvl w:val="0"/>
          <w:numId w:val="1002"/>
        </w:numPr>
        <w:pStyle w:val="Compact"/>
      </w:pPr>
      <w:r>
        <w:t xml:space="preserve">Table 4: support Σ = 71; predicted Σ = 71; TP Σ = 52 → 0.7324 ✓; per-class F1 ✓; macro-F1 = 0.7344 ✓.</w:t>
      </w:r>
    </w:p>
    <w:p>
      <w:pPr>
        <w:numPr>
          <w:ilvl w:val="0"/>
          <w:numId w:val="1002"/>
        </w:numPr>
        <w:pStyle w:val="Compact"/>
      </w:pPr>
      <w:r>
        <w:t xml:space="preserve">Table 5: values consistent with 26 questions (MRR × 26 = 24.0 for embeddings; R@5 differences = 1/26).</w:t>
      </w:r>
    </w:p>
    <w:p>
      <w:pPr>
        <w:numPr>
          <w:ilvl w:val="0"/>
          <w:numId w:val="1002"/>
        </w:numPr>
        <w:pStyle w:val="Compact"/>
      </w:pPr>
      <w:r>
        <w:t xml:space="preserve">Table 6: within + outside = returned ✓.</w:t>
      </w:r>
    </w:p>
    <w:p>
      <w:pPr>
        <w:numPr>
          <w:ilvl w:val="0"/>
          <w:numId w:val="1002"/>
        </w:numPr>
        <w:pStyle w:val="Compact"/>
      </w:pPr>
      <w:r>
        <w:t xml:space="preserve">Table 7 vs Fig. 4 (screenshot): ₹4,00,000 / ₹4,00,000 / ₹3,50,000 / ₹3,50,000 / ₹2,80,000; 14 of 20; 70%;</w:t>
      </w:r>
      <w:r>
        <w:t xml:space="preserve"> </w:t>
      </w:r>
      <w:r>
        <w:t xml:space="preserve">“</w:t>
      </w:r>
      <w:r>
        <w:t xml:space="preserve">4 other residents</w:t>
      </w:r>
      <w:r>
        <w:t xml:space="preserve">”</w:t>
      </w:r>
      <w:r>
        <w:t xml:space="preserve"> </w:t>
      </w:r>
      <w:r>
        <w:t xml:space="preserve">✓.</w:t>
      </w:r>
    </w:p>
    <w:p>
      <w:pPr>
        <w:numPr>
          <w:ilvl w:val="0"/>
          <w:numId w:val="1002"/>
        </w:numPr>
        <w:pStyle w:val="Compact"/>
      </w:pPr>
      <w:r>
        <w:t xml:space="preserve">Table 8 variances ✓.</w:t>
      </w:r>
    </w:p>
    <w:p>
      <w:pPr>
        <w:numPr>
          <w:ilvl w:val="0"/>
          <w:numId w:val="1002"/>
        </w:numPr>
        <w:pStyle w:val="Compact"/>
      </w:pPr>
      <w:r>
        <w:t xml:space="preserve">Inconsistency found: Fig. 1</w:t>
      </w:r>
      <w:r>
        <w:t xml:space="preserve"> </w:t>
      </w:r>
      <w:r>
        <w:t xml:space="preserve">“</w:t>
      </w:r>
      <w:r>
        <w:t xml:space="preserve">22 screens</w:t>
      </w:r>
      <w:r>
        <w:t xml:space="preserve">”</w:t>
      </w:r>
      <w:r>
        <w:t xml:space="preserve"> </w:t>
      </w:r>
      <w:r>
        <w:t xml:space="preserve">vs text</w:t>
      </w:r>
      <w:r>
        <w:t xml:space="preserve"> </w:t>
      </w:r>
      <w:r>
        <w:t xml:space="preserve">“</w:t>
      </w:r>
      <w:r>
        <w:t xml:space="preserve">twenty-one</w:t>
      </w:r>
      <w:r>
        <w:t xml:space="preserve">”</w:t>
      </w:r>
      <w:r>
        <w:t xml:space="preserve"> </w:t>
      </w:r>
      <w:r>
        <w:t xml:space="preserve">(resolved by removing the count from the figure).</w:t>
      </w:r>
    </w:p>
    <w:bookmarkEnd w:id="23"/>
    <w:bookmarkStart w:id="24" w:name="X0d9b50ee1a2449ba4757d0d7e45ca3040ff9537"/>
    <w:p>
      <w:pPr>
        <w:pStyle w:val="Heading3"/>
      </w:pPr>
      <w:r>
        <w:t xml:space="preserve">D.2 Claims verified from source code (commit f6d9d2b)</w:t>
      </w:r>
    </w:p>
    <w:p>
      <w:pPr>
        <w:numPr>
          <w:ilvl w:val="0"/>
          <w:numId w:val="1003"/>
        </w:numPr>
        <w:pStyle w:val="Compact"/>
      </w:pPr>
      <w:r>
        <w:t xml:space="preserve">Three roles;</w:t>
      </w:r>
      <w:r>
        <w:t xml:space="preserve"> </w:t>
      </w:r>
      <w:r>
        <w:rPr>
          <w:rStyle w:val="VerbatimChar"/>
        </w:rPr>
        <w:t xml:space="preserve">require_officer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require_admin</w:t>
      </w:r>
      <w:r>
        <w:t xml:space="preserve">; village scope applied before ranking (</w:t>
      </w:r>
      <w:r>
        <w:rPr>
          <w:rStyle w:val="VerbatimChar"/>
        </w:rPr>
        <w:t xml:space="preserve">_visible_chunks</w:t>
      </w:r>
      <w:r>
        <w:t xml:space="preserve">); link expansion restricted to the visible set; object-ID routes check village; analytics scoped.</w:t>
      </w:r>
    </w:p>
    <w:p>
      <w:pPr>
        <w:numPr>
          <w:ilvl w:val="0"/>
          <w:numId w:val="1003"/>
        </w:numPr>
        <w:pStyle w:val="Compact"/>
      </w:pPr>
      <w:r>
        <w:t xml:space="preserve">Resident records not indexed (indexer builds no citizen drafts; test</w:t>
      </w:r>
      <w:r>
        <w:t xml:space="preserve"> </w:t>
      </w:r>
      <w:r>
        <w:rPr>
          <w:rStyle w:val="VerbatimChar"/>
        </w:rPr>
        <w:t xml:space="preserve">test_no_chunk_from_any_table_quotes_a_resident_by_name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Complaint title and description embedded; complainant name not included.</w:t>
      </w:r>
    </w:p>
    <w:p>
      <w:pPr>
        <w:numPr>
          <w:ilvl w:val="0"/>
          <w:numId w:val="1003"/>
        </w:numPr>
        <w:pStyle w:val="Compact"/>
      </w:pPr>
      <w:r>
        <w:t xml:space="preserve">Personal-fact gate checked before the key check; template answer;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flag on every exit.</w:t>
      </w:r>
    </w:p>
    <w:p>
      <w:pPr>
        <w:numPr>
          <w:ilvl w:val="0"/>
          <w:numId w:val="1003"/>
        </w:numPr>
        <w:pStyle w:val="Compact"/>
      </w:pPr>
      <w:r>
        <w:t xml:space="preserve">Question text included verbatim in the generation prompt and sent for embedding.</w:t>
      </w:r>
    </w:p>
    <w:p>
      <w:pPr>
        <w:numPr>
          <w:ilvl w:val="0"/>
          <w:numId w:val="1003"/>
        </w:numPr>
        <w:pStyle w:val="Compact"/>
      </w:pPr>
      <w:r>
        <w:t xml:space="preserve">Provider: Google Gemini API; embeddings 768-d (</w:t>
      </w:r>
      <w:r>
        <w:rPr>
          <w:rStyle w:val="VerbatimChar"/>
        </w:rPr>
        <w:t xml:space="preserve">EMBED_DIMENSIONS</w:t>
      </w:r>
      <w:r>
        <w:t xml:space="preserve">); τ = 0.55; top 6; 3 links per hit; 2 retries with back-off.</w:t>
      </w:r>
    </w:p>
    <w:p>
      <w:pPr>
        <w:numPr>
          <w:ilvl w:val="0"/>
          <w:numId w:val="1003"/>
        </w:numPr>
        <w:pStyle w:val="Compact"/>
      </w:pPr>
      <w:r>
        <w:t xml:space="preserve">23 villages, 18 with coordinates; 29 schemes; 10 residents; 5 households; 30 documents; 1 meeting; 5 facilities; 7 schemes with</w:t>
      </w:r>
      <w:r>
        <w:t xml:space="preserve"> </w:t>
      </w:r>
      <w:r>
        <w:rPr>
          <w:rStyle w:val="VerbatimChar"/>
        </w:rPr>
        <w:t xml:space="preserve">manual_review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Classifier: max-hit category, Other default, Critical/High/Low terms, Water/Health default High.</w:t>
      </w:r>
    </w:p>
    <w:p>
      <w:pPr>
        <w:numPr>
          <w:ilvl w:val="0"/>
          <w:numId w:val="1003"/>
        </w:numPr>
        <w:pStyle w:val="Compact"/>
      </w:pPr>
      <w:r>
        <w:t xml:space="preserve">Aadhaar: hashed Aadhaar number used as a sign-in identifier only; no UIDAI authentication; no SMS gateway.</w:t>
      </w:r>
    </w:p>
    <w:bookmarkEnd w:id="24"/>
    <w:bookmarkStart w:id="25" w:name="d.3-tests-actually-executed"/>
    <w:p>
      <w:pPr>
        <w:pStyle w:val="Heading3"/>
      </w:pPr>
      <w:r>
        <w:t xml:space="preserve">D.3 Tests actually executed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pytest</w:t>
      </w:r>
      <w:r>
        <w:t xml:space="preserve"> </w:t>
      </w:r>
      <w:r>
        <w:t xml:space="preserve">at f6d9d2b:</w:t>
      </w:r>
      <w:r>
        <w:t xml:space="preserve"> </w:t>
      </w:r>
      <w:r>
        <w:rPr>
          <w:bCs/>
          <w:b/>
        </w:rPr>
        <w:t xml:space="preserve">295 collected, 295 passed</w:t>
      </w:r>
      <w:r>
        <w:t xml:space="preserve"> </w:t>
      </w:r>
      <w:r>
        <w:t xml:space="preserve">(203.96 s, Python 3.13.16, SQLite). This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634-test suite the paper reports.</w:t>
      </w:r>
    </w:p>
    <w:p>
      <w:pPr>
        <w:numPr>
          <w:ilvl w:val="0"/>
          <w:numId w:val="1004"/>
        </w:numPr>
        <w:pStyle w:val="Compact"/>
      </w:pPr>
      <w:r>
        <w:t xml:space="preserve">Seeding plus a full eligibility sweep: 179 / 67 / 37 / 7 (see Section 0).</w:t>
      </w:r>
    </w:p>
    <w:p>
      <w:pPr>
        <w:numPr>
          <w:ilvl w:val="0"/>
          <w:numId w:val="1004"/>
        </w:numPr>
        <w:pStyle w:val="Compact"/>
      </w:pPr>
      <w:r>
        <w:t xml:space="preserve">No benchmark, retrieval or latency script was available to run.</w:t>
      </w:r>
    </w:p>
    <w:bookmarkEnd w:id="25"/>
    <w:bookmarkStart w:id="26" w:name="X4be47ff48c0fd37ec76ae659766707620a55222"/>
    <w:p>
      <w:pPr>
        <w:pStyle w:val="Heading3"/>
      </w:pPr>
      <w:r>
        <w:t xml:space="preserve">D.4 External references checked (web search in this session)</w:t>
      </w:r>
    </w:p>
    <w:p>
      <w:pPr>
        <w:numPr>
          <w:ilvl w:val="0"/>
          <w:numId w:val="1005"/>
        </w:numPr>
        <w:pStyle w:val="Compact"/>
      </w:pPr>
      <w:r>
        <w:t xml:space="preserve">Niradhar: ₹21,000 general and ₹50,000 for disabled applicants confirmed by district government portals; age condition conflicts (</w:t>
      </w:r>
      <w:r>
        <w:t xml:space="preserve">“</w:t>
      </w:r>
      <w:r>
        <w:t xml:space="preserve">below 65</w:t>
      </w:r>
      <w:r>
        <w:t xml:space="preserve">”</w:t>
      </w:r>
      <w:r>
        <w:t xml:space="preserve"> </w:t>
      </w:r>
      <w:r>
        <w:t xml:space="preserve">on the Pune/Nashik pages vs</w:t>
      </w:r>
      <w:r>
        <w:t xml:space="preserve"> </w:t>
      </w:r>
      <w:r>
        <w:t xml:space="preserve">“</w:t>
      </w:r>
      <w:r>
        <w:t xml:space="preserve">18–65</w:t>
      </w:r>
      <w:r>
        <w:t xml:space="preserve">”</w:t>
      </w:r>
      <w:r>
        <w:t xml:space="preserve"> </w:t>
      </w:r>
      <w:r>
        <w:t xml:space="preserve">on Ahmednagar).</w:t>
      </w:r>
    </w:p>
    <w:p>
      <w:pPr>
        <w:numPr>
          <w:ilvl w:val="0"/>
          <w:numId w:val="1005"/>
        </w:numPr>
        <w:pStyle w:val="Compact"/>
      </w:pPr>
      <w:r>
        <w:t xml:space="preserve">NMMSS: ₹3,50,000 parental income ceiling confirmed by the Ministry of Education scheme page.</w:t>
      </w:r>
    </w:p>
    <w:p>
      <w:pPr>
        <w:numPr>
          <w:ilvl w:val="0"/>
          <w:numId w:val="1005"/>
        </w:numPr>
        <w:pStyle w:val="Compact"/>
      </w:pPr>
      <w:r>
        <w:t xml:space="preserve">IGNDPS: 18–79, ≥80% disability, BPL confirmed (Bihar government portal and other listings).</w:t>
      </w:r>
    </w:p>
    <w:p>
      <w:pPr>
        <w:numPr>
          <w:ilvl w:val="0"/>
          <w:numId w:val="1005"/>
        </w:numPr>
        <w:pStyle w:val="Compact"/>
      </w:pPr>
      <w:r>
        <w:t xml:space="preserve">Kisan e-Mitra: launched Sept 2023; 5 languages at launch, 11 after the 2024 upgrade (secondary sources).</w:t>
      </w:r>
    </w:p>
    <w:p>
      <w:pPr>
        <w:numPr>
          <w:ilvl w:val="0"/>
          <w:numId w:val="1005"/>
        </w:numPr>
        <w:pStyle w:val="Compact"/>
      </w:pPr>
      <w:r>
        <w:t xml:space="preserve">PMAY-G URL pmayg.nic.in and MJPJAY URL jeevandayee.gov.in: secondary sources only.</w:t>
      </w:r>
    </w:p>
    <w:p>
      <w:pPr>
        <w:numPr>
          <w:ilvl w:val="0"/>
          <w:numId w:val="1005"/>
        </w:numPr>
        <w:pStyle w:val="Compact"/>
      </w:pPr>
      <w:r>
        <w:t xml:space="preserve">Direct fetches of nsap.nic.in and ai.google.dev failed (DNS unavailable in the sandbox), so access dates were not added.</w:t>
      </w:r>
    </w:p>
    <w:p>
      <w:pPr>
        <w:numPr>
          <w:ilvl w:val="0"/>
          <w:numId w:val="1005"/>
        </w:numPr>
        <w:pStyle w:val="Compact"/>
      </w:pPr>
      <w:r>
        <w:t xml:space="preserve">Academic references ([7]–[9], [16]–[19], [21]–[25], [27], [28]) were checked against known bibliographic records, not resolved online.</w:t>
      </w:r>
    </w:p>
    <w:bookmarkEnd w:id="26"/>
    <w:bookmarkStart w:id="27" w:name="X94b2ea2fe213952bd3722b6c570ce40fdf2a499"/>
    <w:p>
      <w:pPr>
        <w:pStyle w:val="Heading3"/>
      </w:pPr>
      <w:r>
        <w:t xml:space="preserve">D.5 Arithmetic independently recalculated</w:t>
      </w:r>
    </w:p>
    <w:p>
      <w:pPr>
        <w:pStyle w:val="FirstParagraph"/>
      </w:pPr>
      <w:r>
        <w:t xml:space="preserve">Every number in Tables 3, 4, 7 and 8; the derived TP/FN/FP; macro averages; the MRR increment; the recall granularity (1/26); the extra records from link following (+0.96); percentage-point differences.</w:t>
      </w:r>
    </w:p>
    <w:bookmarkEnd w:id="27"/>
    <w:bookmarkStart w:id="28" w:name="X395e8421ae90e7c2958b14723de1ea553afca6d"/>
    <w:p>
      <w:pPr>
        <w:pStyle w:val="Heading3"/>
      </w:pPr>
      <w:r>
        <w:t xml:space="preserve">D.6 Items requiring additional experiments</w:t>
      </w:r>
    </w:p>
    <w:p>
      <w:pPr>
        <w:pStyle w:val="FirstParagraph"/>
      </w:pPr>
      <w:r>
        <w:t xml:space="preserve">C-4, C-5, C-11, C-12, C-13, C-15, C-16, plus latency under load.</w:t>
      </w:r>
    </w:p>
    <w:bookmarkEnd w:id="28"/>
    <w:bookmarkStart w:id="29" w:name="Xfe46d28abe76bf581e5d3d008f195654a1a09f4"/>
    <w:p>
      <w:pPr>
        <w:pStyle w:val="Heading3"/>
      </w:pPr>
      <w:r>
        <w:t xml:space="preserve">D.7 Proposed features that remain future work</w:t>
      </w:r>
    </w:p>
    <w:p>
      <w:pPr>
        <w:pStyle w:val="FirstParagraph"/>
      </w:pPr>
      <w:r>
        <w:t xml:space="preserve">Officer validation workflow; automatic age-boundary referral; local embeddings; a pre-embedding quasi-identifier filter; morphology-aware Marathi; OCR for GRs; DigiLocker, Aadhaar authentication and SMS gateway; voice input; predictive maintenance; an indexed vector store at district scale.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2fa0f1c2e9f9e71d8bd26c0823e049671f14844"/>
    <w:p>
      <w:pPr>
        <w:pStyle w:val="Heading2"/>
      </w:pPr>
      <w:r>
        <w:t xml:space="preserve">Passages where the authors should add their own input (Part 15A item 9)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§V-A label assignment:</w:t>
      </w:r>
      <w:r>
        <w:t xml:space="preserve"> </w:t>
      </w:r>
      <w:r>
        <w:t xml:space="preserve">when and how the complaint and retrieval labels were assigned (before or after the rules were written; one author or several).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§V-C:</w:t>
      </w:r>
      <w:r>
        <w:t xml:space="preserve"> </w:t>
      </w:r>
      <w:r>
        <w:t xml:space="preserve">the identity of the other eight schemes among the eleven checked, and the documents consulted.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§III-G / Fig. 2:</w:t>
      </w:r>
      <w:r>
        <w:t xml:space="preserve"> </w:t>
      </w:r>
      <w:r>
        <w:t xml:space="preserve">exact transition rules for Rejected and On Hold and the permissions for each money entry.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§IV:</w:t>
      </w:r>
      <w:r>
        <w:t xml:space="preserve"> </w:t>
      </w:r>
      <w:r>
        <w:t xml:space="preserve">the commit hash and benchmark release location.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§I and §VI:</w:t>
      </w:r>
      <w:r>
        <w:t xml:space="preserve"> </w:t>
      </w:r>
      <w:r>
        <w:t xml:space="preserve">if the team has spoken with any Panchayat staff, describe it accurately. Otherwise leave the text as is: v18 claims no fieldwork.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Acknowledgement:</w:t>
      </w:r>
      <w:r>
        <w:t xml:space="preserve"> </w:t>
      </w:r>
      <w:r>
        <w:t xml:space="preserve">supervisor/funding wording, and any AI-assistance disclosure your university or the venue requires. Many IEEE venues ask authors to disclose AI use in the acknowledgements.</w:t>
      </w:r>
    </w:p>
    <w:bookmarkEnd w:id="31"/>
    <w:bookmarkStart w:id="32" w:name="note-on-writing-style-and-ai-detection"/>
    <w:p>
      <w:pPr>
        <w:pStyle w:val="Heading2"/>
      </w:pPr>
      <w:r>
        <w:t xml:space="preserve">Note on writing style and AI detection</w:t>
      </w:r>
    </w:p>
    <w:p>
      <w:pPr>
        <w:pStyle w:val="FirstParagraph"/>
      </w:pPr>
      <w:r>
        <w:t xml:space="preserve">The prose was revised for clarity, specificity and a consistent voice, as Part 15A asks. It was not tuned for, and no claim is made about, any AI-detection score. Disclosure of AI assistance is governed by your university’s and the venue’s policy.</w:t>
      </w:r>
    </w:p>
    <w:bookmarkEnd w:id="32"/>
    <w:bookmarkStart w:id="33" w:name="rebuilding-the-files"/>
    <w:p>
      <w:pPr>
        <w:pStyle w:val="Heading2"/>
      </w:pPr>
      <w:r>
        <w:t xml:space="preserve">Rebuilding the files</w:t>
      </w:r>
    </w:p>
    <w:p>
      <w:pPr>
        <w:pStyle w:val="SourceCode"/>
      </w:pPr>
      <w:r>
        <w:rPr>
          <w:rStyle w:val="VerbatimChar"/>
        </w:rPr>
        <w:t xml:space="preserve">pip install python-docx matplotlib</w:t>
      </w:r>
      <w:r>
        <w:br/>
      </w:r>
      <w:r>
        <w:rPr>
          <w:rStyle w:val="VerbatimChar"/>
        </w:rPr>
        <w:t xml:space="preserve">python docs/paper/v18/tools/figures.py docs/paper/v18/figures</w:t>
      </w:r>
      <w:r>
        <w:br/>
      </w:r>
      <w:r>
        <w:rPr>
          <w:rStyle w:val="VerbatimChar"/>
        </w:rPr>
        <w:t xml:space="preserve">python docs/paper/v18/tools/build_docx.py docs/paper/v18/figures docs/paper/v18/E-Panchayat-Research-Paper-IEEE-v18.docx</w:t>
      </w:r>
      <w:r>
        <w:br/>
      </w:r>
      <w:r>
        <w:rPr>
          <w:rStyle w:val="VerbatimChar"/>
        </w:rPr>
        <w:t xml:space="preserve">soffice --headless --convert-to pdf --outdir docs/paper/v18 docs/paper/v18/E-Panchayat-Research-Paper-IEEE-v18.docx</w:t>
      </w:r>
    </w:p>
    <w:p>
      <w:pPr>
        <w:pStyle w:val="FirstParagraph"/>
      </w:pPr>
      <w:r>
        <w:t xml:space="preserve">Figures 4 and 5 are the v17 screenshots, extracted unchanged. Devanagari text needs a Devanagari font (Noto Serif Devanagari was used).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2026-10-10T04:27:52Z</dcterms:created>
  <dcterms:modified xsi:type="dcterms:W3CDTF">2026-10-10T04:27:52Z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