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719224">
      <w:pPr>
        <w:rPr>
          <w:b/>
          <w:bCs/>
        </w:rPr>
      </w:pPr>
      <w:bookmarkStart w:id="0" w:name="_GoBack"/>
      <w:bookmarkEnd w:id="0"/>
    </w:p>
    <w:p w14:paraId="256F0B1E">
      <w:pPr>
        <w:rPr>
          <w:rFonts w:hint="default"/>
          <w:b/>
          <w:bCs/>
          <w:lang w:val="en-US"/>
        </w:rPr>
      </w:pPr>
      <w:r>
        <w:rPr>
          <w:b/>
          <w:bCs/>
        </w:rPr>
        <w:t xml:space="preserve">Case Study ID: </w:t>
      </w:r>
      <w:r>
        <w:rPr>
          <w:rFonts w:hint="default"/>
          <w:b/>
          <w:bCs/>
          <w:lang w:val="en-US"/>
        </w:rPr>
        <w:t>4</w:t>
      </w:r>
    </w:p>
    <w:p w14:paraId="1C48EC15">
      <w:pPr>
        <w:rPr>
          <w:rFonts w:hint="default"/>
          <w:b/>
          <w:bCs/>
          <w:lang w:val="en-US"/>
        </w:rPr>
      </w:pPr>
      <w:r>
        <w:rPr>
          <w:b/>
          <w:bCs/>
        </w:rPr>
        <w:t>1. Title</w:t>
      </w:r>
      <w:r>
        <w:rPr>
          <w:rFonts w:hint="default"/>
          <w:b/>
          <w:bCs/>
          <w:lang w:val="en-US"/>
        </w:rPr>
        <w:t xml:space="preserve"> : Cross-Border Data Sharing</w:t>
      </w:r>
    </w:p>
    <w:p w14:paraId="3495A105">
      <w:pPr>
        <w:rPr>
          <w:b/>
          <w:bCs/>
        </w:rPr>
      </w:pPr>
      <w:r>
        <w:rPr>
          <w:b/>
          <w:bCs/>
        </w:rPr>
        <w:t>2. Introduction</w:t>
      </w:r>
    </w:p>
    <w:p w14:paraId="634738DD">
      <w:pPr>
        <w:pStyle w:val="11"/>
        <w:numPr>
          <w:ilvl w:val="0"/>
          <w:numId w:val="1"/>
        </w:numPr>
      </w:pPr>
      <w:r>
        <w:t xml:space="preserve">Overview </w:t>
      </w:r>
      <w:r>
        <w:rPr>
          <w:rFonts w:hint="default"/>
          <w:lang w:val="en-US"/>
        </w:rPr>
        <w:t>:</w:t>
      </w:r>
    </w:p>
    <w:p w14:paraId="2917CB3A">
      <w:pPr>
        <w:keepNext w:val="0"/>
        <w:keepLines w:val="0"/>
        <w:widowControl/>
        <w:numPr>
          <w:ilvl w:val="0"/>
          <w:numId w:val="2"/>
        </w:numPr>
        <w:suppressLineNumbers w:val="0"/>
        <w:spacing w:before="0" w:beforeAutospacing="1" w:after="0" w:afterAutospacing="1"/>
        <w:ind w:left="720" w:hanging="360"/>
      </w:pPr>
      <w:r>
        <w:rPr>
          <w:rFonts w:hint="default"/>
          <w:lang w:val="en-US"/>
        </w:rPr>
        <w:t>the movement of personal information or data across geographical,legal,and technological borders between different countries.it involves transferring data from one jurisdiction to another.</w:t>
      </w:r>
      <w:r>
        <w:rPr>
          <w:rFonts w:hint="default" w:ascii="Symbol" w:hAnsi="Symbol" w:eastAsia="Symbol" w:cs="Symbol"/>
          <w:sz w:val="24"/>
        </w:rPr>
        <w:t>·</w:t>
      </w:r>
      <w:r>
        <w:rPr>
          <w:rFonts w:hint="eastAsia" w:ascii="SimSun" w:hAnsi="SimSun" w:eastAsia="SimSun" w:cs="SimSun"/>
          <w:sz w:val="24"/>
        </w:rPr>
        <w:t xml:space="preserve">  </w:t>
      </w:r>
      <w:r>
        <w:t>Companies with international operations need to share data across borders to streamline processes, coordinate activities, and support global strategies. Effective data sharing enables seamless communication between regional offices and headquarters, optimizes supply chains, and improves customer service.</w:t>
      </w:r>
      <w:r>
        <w:rPr>
          <w:rFonts w:hint="eastAsia" w:ascii="SimSun" w:hAnsi="SimSun" w:eastAsia="SimSun" w:cs="SimSun"/>
          <w:sz w:val="24"/>
        </w:rPr>
        <w:t xml:space="preserve"> </w:t>
      </w:r>
      <w:r>
        <w:t>Data sharing supports innovation by allowing organizations to leverage global insights, collaborate with international partners, and access diverse data sources. This collaboration can lead to the development of new products, services, and solutions that meet global market demands.</w:t>
      </w:r>
      <w:r>
        <w:rPr>
          <w:rFonts w:hint="eastAsia" w:ascii="SimSun" w:hAnsi="SimSun" w:eastAsia="SimSun" w:cs="SimSun"/>
          <w:sz w:val="24"/>
        </w:rPr>
        <w:t xml:space="preserve"> </w:t>
      </w:r>
      <w:r>
        <w:t>Access to comprehensive data from different regions enables organizations to make more informed decisions. By analyzing data on a global scale, businesses can identify trends, predict market changes, and tailor their strategies to meet the needs of diverse customer bases.</w:t>
      </w:r>
    </w:p>
    <w:p w14:paraId="666AE8A3">
      <w:pPr>
        <w:pStyle w:val="11"/>
        <w:numPr>
          <w:ilvl w:val="0"/>
          <w:numId w:val="3"/>
        </w:numPr>
        <w:ind w:left="420" w:leftChars="0" w:hanging="420" w:firstLineChars="0"/>
      </w:pPr>
      <w:r>
        <w:t>Objective</w:t>
      </w:r>
      <w:r>
        <w:rPr>
          <w:rFonts w:hint="default"/>
          <w:lang w:val="en-US"/>
        </w:rPr>
        <w:t>:</w:t>
      </w:r>
    </w:p>
    <w:p w14:paraId="1436AA6A">
      <w:pPr>
        <w:pStyle w:val="11"/>
        <w:numPr>
          <w:ilvl w:val="0"/>
          <w:numId w:val="0"/>
        </w:numPr>
        <w:ind w:left="360" w:leftChars="0" w:firstLine="110" w:firstLineChars="50"/>
      </w:pPr>
      <w:r>
        <w:rPr>
          <w:rFonts w:hint="default"/>
          <w:lang w:val="en-US"/>
        </w:rPr>
        <w:t xml:space="preserve"> sharing data across borders allows businesses to access global markets.companies can interact with customers,communicate with suppliers,and collaborate with affiliates worldwide.</w:t>
      </w:r>
    </w:p>
    <w:p w14:paraId="10346147">
      <w:pPr>
        <w:rPr>
          <w:b/>
          <w:bCs/>
        </w:rPr>
      </w:pPr>
      <w:r>
        <w:rPr>
          <w:b/>
          <w:bCs/>
        </w:rPr>
        <w:t>3. Background</w:t>
      </w:r>
    </w:p>
    <w:p w14:paraId="1CB339DA">
      <w:pPr>
        <w:pStyle w:val="11"/>
        <w:numPr>
          <w:ilvl w:val="0"/>
          <w:numId w:val="4"/>
        </w:numPr>
      </w:pPr>
      <w:r>
        <w:t xml:space="preserve">Organization/System /Description </w:t>
      </w:r>
      <w:r>
        <w:rPr>
          <w:rFonts w:hint="default"/>
          <w:lang w:val="en-US"/>
        </w:rPr>
        <w:t>:</w:t>
      </w:r>
    </w:p>
    <w:p w14:paraId="2F01F82D">
      <w:pPr>
        <w:pStyle w:val="11"/>
        <w:numPr>
          <w:ilvl w:val="0"/>
          <w:numId w:val="0"/>
        </w:numPr>
        <w:ind w:left="360" w:leftChars="0" w:firstLine="110" w:firstLineChars="50"/>
      </w:pPr>
      <w:r>
        <w:rPr>
          <w:rFonts w:hint="default"/>
          <w:lang w:val="en-US"/>
        </w:rPr>
        <w:t>cross-border data flows are essential for businesses to access global markets.whether its trade,e-commerce,or internet-based services,data needs to move freely so that individuals and corporations can access the information and services they require.</w:t>
      </w:r>
    </w:p>
    <w:p w14:paraId="3DDED930">
      <w:pPr>
        <w:pStyle w:val="11"/>
        <w:numPr>
          <w:ilvl w:val="0"/>
          <w:numId w:val="4"/>
        </w:numPr>
      </w:pPr>
      <w:r>
        <w:t>Current Network Setup</w:t>
      </w:r>
      <w:r>
        <w:rPr>
          <w:rFonts w:hint="default"/>
          <w:lang w:val="en-US"/>
        </w:rPr>
        <w:t>:</w:t>
      </w:r>
    </w:p>
    <w:p w14:paraId="0289447D">
      <w:pPr>
        <w:pStyle w:val="11"/>
        <w:numPr>
          <w:ilvl w:val="0"/>
          <w:numId w:val="0"/>
        </w:numPr>
        <w:ind w:left="360" w:leftChars="0"/>
        <w:rPr>
          <w:rFonts w:hint="default"/>
          <w:lang w:val="en-US"/>
        </w:rPr>
      </w:pPr>
      <w:r>
        <w:rPr>
          <w:rFonts w:hint="default"/>
          <w:lang w:val="en-US"/>
        </w:rPr>
        <w:t xml:space="preserve">  Businesses need to communicate,collaborate,and trade internationally.data sharing enables seamless transactions and supply chain management.</w:t>
      </w:r>
    </w:p>
    <w:p w14:paraId="293EE1C7">
      <w:pPr>
        <w:rPr>
          <w:b/>
          <w:bCs/>
        </w:rPr>
      </w:pPr>
      <w:r>
        <w:rPr>
          <w:b/>
          <w:bCs/>
        </w:rPr>
        <w:t>4. Problem Statement</w:t>
      </w:r>
    </w:p>
    <w:p w14:paraId="7940556E">
      <w:pPr>
        <w:pStyle w:val="11"/>
        <w:numPr>
          <w:ilvl w:val="0"/>
          <w:numId w:val="5"/>
        </w:numPr>
      </w:pPr>
      <w:r>
        <w:t>Challenges Faced</w:t>
      </w:r>
      <w:r>
        <w:rPr>
          <w:rFonts w:hint="default"/>
          <w:lang w:val="en-US"/>
        </w:rPr>
        <w:t>:</w:t>
      </w:r>
    </w:p>
    <w:p w14:paraId="644E2BAB">
      <w:pPr>
        <w:pStyle w:val="11"/>
        <w:numPr>
          <w:ilvl w:val="0"/>
          <w:numId w:val="0"/>
        </w:numPr>
        <w:ind w:left="360" w:leftChars="0" w:firstLine="198"/>
        <w:rPr>
          <w:rFonts w:hint="default"/>
          <w:lang w:val="en-US"/>
        </w:rPr>
      </w:pPr>
      <w:r>
        <w:rPr>
          <w:rFonts w:hint="default"/>
          <w:lang w:val="en-US"/>
        </w:rPr>
        <w:t>Data privacy is balancing data sharing with privacy rights is crucial.different countries have varying privacy regulations.security is ensuring data security during transmission and storage is essential.legal and regulatory compliances is navigating diverse legal frameworks can be complex.</w:t>
      </w:r>
    </w:p>
    <w:p w14:paraId="72D80800">
      <w:pPr>
        <w:pStyle w:val="11"/>
        <w:numPr>
          <w:ilvl w:val="0"/>
          <w:numId w:val="0"/>
        </w:numPr>
        <w:ind w:left="360" w:leftChars="0"/>
        <w:rPr>
          <w:rFonts w:hint="default"/>
          <w:lang w:val="en-US"/>
        </w:rPr>
      </w:pPr>
    </w:p>
    <w:p w14:paraId="341A591E">
      <w:pPr>
        <w:pStyle w:val="11"/>
        <w:numPr>
          <w:ilvl w:val="0"/>
          <w:numId w:val="0"/>
        </w:numPr>
        <w:ind w:left="360" w:leftChars="0"/>
        <w:rPr>
          <w:b/>
          <w:bCs/>
        </w:rPr>
      </w:pPr>
      <w:r>
        <w:rPr>
          <w:rFonts w:hint="default"/>
          <w:lang w:val="en-US"/>
        </w:rPr>
        <w:t xml:space="preserve">   </w:t>
      </w:r>
      <w:r>
        <w:rPr>
          <w:b/>
          <w:bCs/>
        </w:rPr>
        <w:t>5. Proposed Solutions</w:t>
      </w:r>
    </w:p>
    <w:p w14:paraId="7E6636EA">
      <w:pPr>
        <w:pStyle w:val="11"/>
        <w:numPr>
          <w:ilvl w:val="0"/>
          <w:numId w:val="5"/>
        </w:numPr>
      </w:pPr>
      <w:r>
        <w:t>Approach</w:t>
      </w:r>
      <w:r>
        <w:rPr>
          <w:rFonts w:hint="default"/>
          <w:lang w:val="en-US"/>
        </w:rPr>
        <w:t>:</w:t>
      </w:r>
    </w:p>
    <w:p w14:paraId="6B0BC094">
      <w:pPr>
        <w:pStyle w:val="11"/>
        <w:numPr>
          <w:ilvl w:val="0"/>
          <w:numId w:val="0"/>
        </w:numPr>
        <w:ind w:left="360" w:leftChars="0" w:firstLine="110" w:firstLineChars="50"/>
      </w:pPr>
      <w:r>
        <w:t>Organizations must ensure they comply with the data protection laws of both the originating and receiving countries. This often involves understanding and adhering to regulations like the GDPR in Europe, the CCPA in California, or the APAC Cross-Border Privacy Rules.These are legal agreements approved by regulatory bodies (such as the European Commission) that impose obligations on the data exporter and importer to ensure data protection when transferred across borders.BCRs are policies implemented by multinational companies to govern the transfer of personal data within their corporate group, across borders, in compliance with EU data protection laws.These are contracts between entities that define how data will be protected during and after transfer. DPAs are crucial when working with third-party vendors or partners located in different jurisdictions.</w:t>
      </w:r>
    </w:p>
    <w:p w14:paraId="74B202CD">
      <w:pPr>
        <w:pStyle w:val="11"/>
        <w:numPr>
          <w:ilvl w:val="0"/>
          <w:numId w:val="0"/>
        </w:numPr>
        <w:ind w:left="360" w:leftChars="0"/>
        <w:rPr>
          <w:rFonts w:hint="default"/>
          <w:lang w:val="en-US"/>
        </w:rPr>
      </w:pPr>
    </w:p>
    <w:p w14:paraId="0CF52644">
      <w:pPr>
        <w:pStyle w:val="11"/>
        <w:numPr>
          <w:ilvl w:val="0"/>
          <w:numId w:val="5"/>
        </w:numPr>
      </w:pPr>
      <w:r>
        <w:t xml:space="preserve">Technologies/Protocols Used </w:t>
      </w:r>
      <w:r>
        <w:rPr>
          <w:rFonts w:hint="default"/>
          <w:lang w:val="en-US"/>
        </w:rPr>
        <w:t>:</w:t>
      </w:r>
    </w:p>
    <w:p w14:paraId="0424566C">
      <w:pPr>
        <w:keepNext w:val="0"/>
        <w:keepLines w:val="0"/>
        <w:widowControl/>
        <w:numPr>
          <w:ilvl w:val="0"/>
          <w:numId w:val="0"/>
        </w:numPr>
        <w:suppressLineNumbers w:val="0"/>
        <w:spacing w:before="0" w:beforeAutospacing="1" w:after="0" w:afterAutospacing="1"/>
        <w:ind w:left="360" w:leftChars="0"/>
      </w:pPr>
    </w:p>
    <w:p w14:paraId="4D24B749">
      <w:pPr>
        <w:keepNext w:val="0"/>
        <w:keepLines w:val="0"/>
        <w:widowControl/>
        <w:numPr>
          <w:ilvl w:val="0"/>
          <w:numId w:val="0"/>
        </w:numPr>
        <w:suppressLineNumbers w:val="0"/>
        <w:spacing w:before="0" w:beforeAutospacing="1" w:after="0" w:afterAutospacing="1"/>
        <w:ind w:left="1080" w:leftChars="0"/>
      </w:pPr>
      <w:r>
        <w:t>TLS and SSL are cryptographic protocols designed to provide secure communication over a computer network. They are commonly used to encrypt data in transit, ensuring that data transferred over the internet (e.g., through HTTPS) remains confidential and secure.IPsec is a protocol suite for securing internet protocol (IP) communications by authenticating and encrypting each IP packet during a data transfer session. It's often used in virtual private networks (VPNs) to secure data flow across borders.SFTP is a secure version of the File Transfer Protocol (FTP) that uses SSH (Secure Shell) to encrypt data during transfer. It is commonly used for securely transferring large files, such as databases or reports, between different locati</w:t>
      </w:r>
      <w:r>
        <w:rPr>
          <w:rFonts w:hint="default"/>
          <w:lang w:val="en-US"/>
        </w:rPr>
        <w:t>on.</w:t>
      </w:r>
      <w:r>
        <w:t>PGP is an encryption program that provides cryptographic privacy and authentication for data communication. It is widely used for encrypting emails and files, ensuring that data remains confident</w:t>
      </w:r>
      <w:r>
        <w:rPr>
          <w:rFonts w:hint="default"/>
          <w:lang w:val="en-US"/>
        </w:rPr>
        <w:t>sa</w:t>
      </w:r>
      <w:r>
        <w:t>ial and tamper-proof during cross-border transfer.A VPN creates a secure, encrypted connection over a less secure network, such as the internet. VPNs are commonly used to protect data during cross-border transfers, particularly when accessing remote servers or networks.</w:t>
      </w:r>
    </w:p>
    <w:p w14:paraId="33C9C776">
      <w:pPr>
        <w:rPr>
          <w:b/>
          <w:bCs/>
        </w:rPr>
      </w:pPr>
      <w:r>
        <w:t xml:space="preserve"> </w:t>
      </w:r>
      <w:r>
        <w:rPr>
          <w:b/>
          <w:bCs/>
        </w:rPr>
        <w:t>6. Implementation</w:t>
      </w:r>
    </w:p>
    <w:p w14:paraId="6451F75C">
      <w:pPr>
        <w:pStyle w:val="11"/>
        <w:numPr>
          <w:ilvl w:val="0"/>
          <w:numId w:val="6"/>
        </w:numPr>
      </w:pPr>
      <w:r>
        <w:t xml:space="preserve">Process </w:t>
      </w:r>
      <w:r>
        <w:rPr>
          <w:rFonts w:hint="default"/>
          <w:lang w:val="en-US"/>
        </w:rPr>
        <w:t>:</w:t>
      </w:r>
    </w:p>
    <w:p w14:paraId="44890D2A">
      <w:pPr>
        <w:pStyle w:val="11"/>
        <w:numPr>
          <w:ilvl w:val="0"/>
          <w:numId w:val="0"/>
        </w:numPr>
        <w:ind w:left="360" w:leftChars="0" w:firstLine="110" w:firstLineChars="50"/>
        <w:rPr>
          <w:rFonts w:hint="default"/>
          <w:lang w:val="en-US"/>
        </w:rPr>
      </w:pPr>
      <w:r>
        <w:t>Determine the types of data that need to be shared, including personal data, sensitive data, and business-critical information.Classify data based on sensitivity, regulatory requirements, and business impact. This helps in determining the level of protection needed during transfer.Review applicable laws and regulations in both the sending and receiving countries to identify any restrictions or requirements for data transfer.Depending on the nature of the data and regulatory requirements, select the most suitable transfer mechanism, such as Standard Contractual Clauses (SCCs), Binding Corporate Rules (BCRs), or other legal agreements</w:t>
      </w:r>
      <w:r>
        <w:rPr>
          <w:rFonts w:hint="default"/>
          <w:lang w:val="en-US"/>
        </w:rPr>
        <w:t>.</w:t>
      </w:r>
    </w:p>
    <w:p w14:paraId="78385209">
      <w:pPr>
        <w:pStyle w:val="11"/>
        <w:numPr>
          <w:ilvl w:val="0"/>
          <w:numId w:val="7"/>
        </w:numPr>
        <w:ind w:left="420" w:leftChars="0" w:hanging="420" w:firstLineChars="0"/>
      </w:pPr>
      <w:r>
        <w:t xml:space="preserve">Implementation  </w:t>
      </w:r>
      <w:r>
        <w:rPr>
          <w:rFonts w:hint="default"/>
          <w:lang w:val="en-US"/>
        </w:rPr>
        <w:t xml:space="preserve">: </w:t>
      </w:r>
    </w:p>
    <w:p w14:paraId="78EEDE6B">
      <w:pPr>
        <w:pStyle w:val="11"/>
        <w:numPr>
          <w:ilvl w:val="0"/>
          <w:numId w:val="0"/>
        </w:numPr>
        <w:ind w:leftChars="0" w:firstLine="440" w:firstLineChars="200"/>
      </w:pPr>
      <w:r>
        <w:t>Implement robust encryption methods for data in transit and at rest to protect against unauthorized access. Use protocols like TLS, IPsec, or VPNs to secure data during transfer.Establish secure channels for data transfer, such as SFTP for file transfers or secure APIs for real-time data exchanges.Apply anonymization or pseudonymization techniques to sensitive data before transfer to minimize privacy risks.Implement strict access control mechanisms to ensure that only authorized personnel can access the data during and after the transfer. This includes multi-factor authentication and role-based access controls.Prepare data for transfer, ensuring it is properly formatted, encrypted, and meets all regulatory requirements.Execute the data transfer according to the established plan, ensuring all protocols and safeguards are in place. Monitor the process in real-time to address any issues that arise.Maintain detailed logs of the data transfer process, including time stamps, transfer volumes, and any anomalies. These logs are crucial for post-transfer audits and compliance verification.After the transfer, verify the integrity of the data to ensure it has not been altered or corrupted during transit. Use checksums or hash functions for validation.</w:t>
      </w:r>
    </w:p>
    <w:p w14:paraId="6983F9CA">
      <w:pPr>
        <w:keepNext w:val="0"/>
        <w:keepLines w:val="0"/>
        <w:widowControl/>
        <w:numPr>
          <w:ilvl w:val="0"/>
          <w:numId w:val="0"/>
        </w:numPr>
        <w:suppressLineNumbers w:val="0"/>
        <w:spacing w:before="0" w:beforeAutospacing="1" w:after="0" w:afterAutospacing="1"/>
        <w:ind w:left="1080" w:leftChars="0"/>
        <w:rPr>
          <w:rFonts w:hint="default"/>
          <w:lang w:val="en-US"/>
        </w:rPr>
      </w:pPr>
      <w:r>
        <w:t>Conduct compliance checks to ensure that the transfer adhered to all legal and regulatory requirements. This may involve reviewing the logs, verifying that all agreements were followed, and ensuring the data was handled according to the plan</w:t>
      </w:r>
      <w:r>
        <w:rPr>
          <w:rFonts w:hint="default"/>
          <w:lang w:val="en-US"/>
        </w:rPr>
        <w:t>.</w:t>
      </w:r>
      <w:r>
        <w:t>Implement access controls in the receiving environment to manage who can access the data. Regularly review and update these controls to maintain security.Set up continuous monitoring of the data and systems in the receiving country to detect and respond to any security incidents or unauthorized access attempts.Schedule regular audits of the data handling processes and security measures in place to ensure ongoing compliance and data protection.Prepare an incident response plan to quickly address any data breaches or security incidents. This plan should include steps for containment, mitigation, notification, and reporting.</w:t>
      </w:r>
    </w:p>
    <w:p w14:paraId="6035FA9A">
      <w:pPr>
        <w:pStyle w:val="11"/>
        <w:numPr>
          <w:ilvl w:val="0"/>
          <w:numId w:val="6"/>
        </w:numPr>
      </w:pPr>
      <w:r>
        <w:t xml:space="preserve">Timeline </w:t>
      </w:r>
      <w:r>
        <w:rPr>
          <w:rFonts w:hint="default"/>
          <w:lang w:val="en-US"/>
        </w:rPr>
        <w:t>:</w:t>
      </w:r>
    </w:p>
    <w:p w14:paraId="3EC7D6D2">
      <w:pPr>
        <w:keepNext w:val="0"/>
        <w:keepLines w:val="0"/>
        <w:widowControl/>
        <w:numPr>
          <w:ilvl w:val="0"/>
          <w:numId w:val="0"/>
        </w:numPr>
        <w:suppressLineNumbers w:val="0"/>
        <w:spacing w:before="0" w:beforeAutospacing="1" w:after="0" w:afterAutospacing="1"/>
        <w:ind w:left="360" w:leftChars="0"/>
      </w:pPr>
      <w:r>
        <w:rPr>
          <w:rStyle w:val="10"/>
        </w:rPr>
        <w:t>Total Initial Implementation Time</w:t>
      </w:r>
      <w:r>
        <w:t>: Approximately 3-4 months for planning, legal review, risk assessment, and execution.</w:t>
      </w:r>
      <w:r>
        <w:rPr>
          <w:rStyle w:val="10"/>
        </w:rPr>
        <w:t>Ongoing Activities</w:t>
      </w:r>
      <w:r>
        <w:t>: Continuous monitoring, compliance checks, audits, and documentation, as well as data retention and disposal based on specific policies.</w:t>
      </w:r>
    </w:p>
    <w:p w14:paraId="3AB54254">
      <w:pPr>
        <w:pStyle w:val="11"/>
        <w:numPr>
          <w:ilvl w:val="0"/>
          <w:numId w:val="0"/>
        </w:numPr>
        <w:ind w:left="360" w:leftChars="0"/>
        <w:rPr>
          <w:rFonts w:hint="default"/>
          <w:lang w:val="en-US"/>
        </w:rPr>
      </w:pPr>
    </w:p>
    <w:p w14:paraId="11DBD358">
      <w:pPr>
        <w:rPr>
          <w:b/>
          <w:bCs/>
        </w:rPr>
      </w:pPr>
      <w:r>
        <w:rPr>
          <w:b/>
          <w:bCs/>
        </w:rPr>
        <w:t>7. Results and Analysis</w:t>
      </w:r>
    </w:p>
    <w:p w14:paraId="6D584310">
      <w:pPr>
        <w:pStyle w:val="11"/>
        <w:numPr>
          <w:ilvl w:val="0"/>
          <w:numId w:val="8"/>
        </w:numPr>
      </w:pPr>
      <w:r>
        <w:t xml:space="preserve">Outcomes </w:t>
      </w:r>
      <w:r>
        <w:rPr>
          <w:rFonts w:hint="default"/>
          <w:lang w:val="en-US"/>
        </w:rPr>
        <w:t xml:space="preserve">: </w:t>
      </w:r>
    </w:p>
    <w:p w14:paraId="0A42EA9A">
      <w:pPr>
        <w:pStyle w:val="11"/>
        <w:numPr>
          <w:ilvl w:val="0"/>
          <w:numId w:val="0"/>
        </w:numPr>
        <w:ind w:firstLine="220" w:firstLineChars="100"/>
        <w:rPr>
          <w:rFonts w:hint="default"/>
          <w:lang w:val="en-US"/>
        </w:rPr>
      </w:pPr>
    </w:p>
    <w:p w14:paraId="4A1A9079">
      <w:pPr>
        <w:pStyle w:val="11"/>
        <w:numPr>
          <w:ilvl w:val="0"/>
          <w:numId w:val="0"/>
        </w:numPr>
        <w:ind w:firstLine="220" w:firstLineChars="100"/>
      </w:pPr>
      <w:r>
        <w:rPr>
          <w:rFonts w:hint="default"/>
          <w:lang w:val="en-US"/>
        </w:rPr>
        <w:t xml:space="preserve">    </w:t>
      </w:r>
      <w:r>
        <w:rPr>
          <w:rStyle w:val="10"/>
        </w:rPr>
        <w:t>Avoidance of Penalties</w:t>
      </w:r>
      <w:r>
        <w:t>: By adhering to international data protection laws (e.g., GDPR, CCPA), the organization avoids fines and legal repercussions.</w:t>
      </w:r>
      <w:r>
        <w:rPr>
          <w:rStyle w:val="10"/>
        </w:rPr>
        <w:t>Regulatory Approval</w:t>
      </w:r>
      <w:r>
        <w:t>: Gaining approval from data protection authorities can enhance the organization's reputation and facilitate smoother future data transfers.</w:t>
      </w:r>
      <w:r>
        <w:rPr>
          <w:rStyle w:val="10"/>
        </w:rPr>
        <w:t>Data Protection</w:t>
      </w:r>
      <w:r>
        <w:t>: Through the use of encryption, secure transfer protocols, and access controls, the data is protected from unauthorized access, ensuring confidentiality and integrity.</w:t>
      </w:r>
      <w:r>
        <w:rPr>
          <w:rStyle w:val="10"/>
        </w:rPr>
        <w:t>Mitigated Risk of Data Breaches</w:t>
      </w:r>
      <w:r>
        <w:t>: Implementing robust security measures reduces the likelihood of data breaches, protecting the organization's assets and customer trust</w:t>
      </w:r>
      <w:r>
        <w:rPr>
          <w:rFonts w:hint="default"/>
          <w:lang w:val="en-US"/>
        </w:rPr>
        <w:t>.</w:t>
      </w:r>
      <w:r>
        <w:rPr>
          <w:rStyle w:val="10"/>
        </w:rPr>
        <w:t>Streamlined Data Transfers</w:t>
      </w:r>
      <w:r>
        <w:t>: Well-planned and executed data transfers allow for seamless sharing of information across borders, enabling more efficient operations and decision-making.</w:t>
      </w:r>
      <w:r>
        <w:rPr>
          <w:rStyle w:val="10"/>
        </w:rPr>
        <w:t>Improved Collaboration</w:t>
      </w:r>
      <w:r>
        <w:t>: Cross-border data sharing facilitates better collaboration between international branches, partners, and stakeholders, leading to more integrated and cohesive operations.</w:t>
      </w:r>
      <w:r>
        <w:rPr>
          <w:rStyle w:val="10"/>
        </w:rPr>
        <w:t>Business Expansion</w:t>
      </w:r>
      <w:r>
        <w:t>: Effective data sharing enables the organization to operate and expand globally, accessing new markets and opportunities while maintaining compliance.</w:t>
      </w:r>
      <w:r>
        <w:rPr>
          <w:rStyle w:val="10"/>
        </w:rPr>
        <w:t>Continuity of Services</w:t>
      </w:r>
      <w:r>
        <w:t>: Ensuring that data is available where it is needed, regardless of location, supports continuous and uninterrupted service delivery to customers and clients.</w:t>
      </w:r>
      <w:r>
        <w:rPr>
          <w:rStyle w:val="10"/>
        </w:rPr>
        <w:t>Customer Confidence</w:t>
      </w:r>
      <w:r>
        <w:t>: Demonstrating compliance with data protection standards and secure handling of personal data builds customer trust and loyalty.</w:t>
      </w:r>
      <w:r>
        <w:rPr>
          <w:rStyle w:val="10"/>
        </w:rPr>
        <w:t>Enhanced Reputation</w:t>
      </w:r>
      <w:r>
        <w:t>: Being known as a company that prioritizes data privacy and security can enhance the organization's reputation in the global market.</w:t>
      </w:r>
    </w:p>
    <w:p w14:paraId="40B1E3CA">
      <w:pPr>
        <w:pStyle w:val="11"/>
        <w:numPr>
          <w:ilvl w:val="0"/>
          <w:numId w:val="0"/>
        </w:numPr>
        <w:ind w:left="360" w:leftChars="0"/>
        <w:rPr>
          <w:rFonts w:hint="default"/>
          <w:lang w:val="en-US"/>
        </w:rPr>
      </w:pPr>
    </w:p>
    <w:p w14:paraId="2F2C4998">
      <w:pPr>
        <w:pStyle w:val="11"/>
        <w:numPr>
          <w:ilvl w:val="0"/>
          <w:numId w:val="8"/>
        </w:numPr>
      </w:pPr>
      <w:r>
        <w:t>Analysis</w:t>
      </w:r>
      <w:r>
        <w:rPr>
          <w:rFonts w:hint="default"/>
          <w:lang w:val="en-US"/>
        </w:rPr>
        <w:t>:</w:t>
      </w:r>
    </w:p>
    <w:p w14:paraId="3BBE5AB0">
      <w:pPr>
        <w:pStyle w:val="11"/>
        <w:numPr>
          <w:ilvl w:val="0"/>
          <w:numId w:val="0"/>
        </w:numPr>
        <w:ind w:left="360" w:leftChars="0" w:firstLine="220" w:firstLineChars="100"/>
      </w:pPr>
      <w:r>
        <w:rPr>
          <w:rStyle w:val="10"/>
        </w:rPr>
        <w:t>Analysis</w:t>
      </w:r>
      <w:r>
        <w:t>: Evaluate whether the current data sharing framework can scale to accommodate future data transfers or expansion into new regions.</w:t>
      </w:r>
      <w:r>
        <w:rPr>
          <w:rStyle w:val="10"/>
        </w:rPr>
        <w:t>Effectiveness</w:t>
      </w:r>
      <w:r>
        <w:t>: A scalable framework indicates readiness for future growth and adaptability to changing regulations or business needs.</w:t>
      </w:r>
      <w:r>
        <w:rPr>
          <w:rStyle w:val="10"/>
        </w:rPr>
        <w:t>Analysis</w:t>
      </w:r>
      <w:r>
        <w:t>: Review the organization’s ability to maintain ongoing compliance, including regular audits, monitoring, and updates to processes.</w:t>
      </w:r>
      <w:r>
        <w:rPr>
          <w:rStyle w:val="10"/>
        </w:rPr>
        <w:t>Effectiveness</w:t>
      </w:r>
      <w:r>
        <w:t>: Continuous compliance without significant issues indicates that the cross-border data sharing implementation is sustainable long-term.</w:t>
      </w:r>
      <w:r>
        <w:rPr>
          <w:rStyle w:val="10"/>
        </w:rPr>
        <w:t>Analysis</w:t>
      </w:r>
      <w:r>
        <w:t>: Assess the challenges faced in navigating different regulatory environments and how effectively they were managed.</w:t>
      </w:r>
      <w:r>
        <w:rPr>
          <w:rStyle w:val="10"/>
        </w:rPr>
        <w:t>Effectiveness</w:t>
      </w:r>
      <w:r>
        <w:t>: Effective management of regulatory complexities indicates strong legal and compliance capabilities.</w:t>
      </w:r>
      <w:r>
        <w:rPr>
          <w:rStyle w:val="10"/>
        </w:rPr>
        <w:t>Analysis</w:t>
      </w:r>
      <w:r>
        <w:t>: Review how risks (e.g., data breaches, legal disputes) were identified and mitigated during the implementation.</w:t>
      </w:r>
      <w:r>
        <w:rPr>
          <w:rStyle w:val="10"/>
        </w:rPr>
        <w:t>Effectiveness</w:t>
      </w:r>
      <w:r>
        <w:t>: Successful risk mitigation suggests that the organization has a robust risk management framework in place.Summary of Analysis</w:t>
      </w:r>
      <w:r>
        <w:rPr>
          <w:rStyle w:val="10"/>
        </w:rPr>
        <w:t>Overall Effectiveness</w:t>
      </w:r>
      <w:r>
        <w:t>: If the data sharing was compliant, secure, and operationally efficient, the implementation can be considered successful.</w:t>
      </w:r>
      <w:r>
        <w:rPr>
          <w:rStyle w:val="10"/>
        </w:rPr>
        <w:t>Areas for Improvement</w:t>
      </w:r>
      <w:r>
        <w:t>: Any identified challenges or inefficiencies should be addressed in future data sharing initiatives, potentially by refining legal agreements, enhancing security protocols, or streamlining operational processes.</w:t>
      </w:r>
      <w:r>
        <w:rPr>
          <w:rStyle w:val="10"/>
        </w:rPr>
        <w:t>Strategic Value</w:t>
      </w:r>
      <w:r>
        <w:t>: The long-term benefits, such as enhanced global collaboration, market expansion, and increased trust, should be weighed against any challenges to assess the overall strategic value of cross-border data sharing.</w:t>
      </w:r>
    </w:p>
    <w:p w14:paraId="66952CDD">
      <w:pPr>
        <w:pStyle w:val="11"/>
        <w:numPr>
          <w:ilvl w:val="0"/>
          <w:numId w:val="0"/>
        </w:numPr>
        <w:ind w:left="360" w:leftChars="0"/>
      </w:pPr>
    </w:p>
    <w:p w14:paraId="3DA13CF9">
      <w:pPr>
        <w:rPr>
          <w:b/>
          <w:bCs/>
        </w:rPr>
      </w:pPr>
      <w:r>
        <w:rPr>
          <w:b/>
          <w:bCs/>
        </w:rPr>
        <w:t>8. Security Integration</w:t>
      </w:r>
    </w:p>
    <w:p w14:paraId="64411C28">
      <w:pPr>
        <w:pStyle w:val="11"/>
        <w:numPr>
          <w:ilvl w:val="0"/>
          <w:numId w:val="9"/>
        </w:numPr>
      </w:pPr>
      <w:r>
        <w:t>Security Measures</w:t>
      </w:r>
      <w:r>
        <w:rPr>
          <w:rFonts w:hint="default"/>
          <w:lang w:val="en-US"/>
        </w:rPr>
        <w:t>:</w:t>
      </w:r>
    </w:p>
    <w:p w14:paraId="0577E2B5">
      <w:pPr>
        <w:pStyle w:val="11"/>
        <w:numPr>
          <w:ilvl w:val="0"/>
          <w:numId w:val="0"/>
        </w:numPr>
        <w:ind w:left="360" w:leftChars="0" w:firstLine="330" w:firstLineChars="150"/>
      </w:pPr>
      <w:r>
        <w:rPr>
          <w:rStyle w:val="10"/>
        </w:rPr>
        <w:t>In-Transit Encryption</w:t>
      </w:r>
      <w:r>
        <w:t>:Use encryption protocols like TLS (Transport Layer Security) or IPsec (Internet Protocol Security) to secure data during transmission. This ensures that data is encrypted as it moves across networks and cannot be intercepted by unauthorized parties.</w:t>
      </w:r>
      <w:r>
        <w:rPr>
          <w:rStyle w:val="10"/>
        </w:rPr>
        <w:t>At-Rest Encryption</w:t>
      </w:r>
      <w:r>
        <w:t>:Encrypt data stored on servers, databases, or other storage systems using strong encryption standards like AES-256 (Advanced Encryption Standard). This protects data even if the storage media is compromised.</w:t>
      </w:r>
      <w:r>
        <w:rPr>
          <w:rStyle w:val="10"/>
        </w:rPr>
        <w:t>VPNs (Virtual Private Networks)</w:t>
      </w:r>
      <w:r>
        <w:t>:Use VPNs to create a secure tunnel for data transfer between different geographical locations. VPNs protect data by encrypting it and routing it through secure servers.Use SFTP instead of FTP to ensure that file transfers are encrypted and secure. SFTP encrypts both commands and data, preventing unauthorized access during the transfer.</w:t>
      </w:r>
      <w:r>
        <w:rPr>
          <w:rStyle w:val="10"/>
        </w:rPr>
        <w:t>Role-Based Access Control (RBAC)</w:t>
      </w:r>
      <w:r>
        <w:t>:Implement RBAC to ensure that only authorized personnel can access the data. Define roles and permissions based on the principle of least privilege, where users have the minimum level of access necessary to perform their job functions.</w:t>
      </w:r>
      <w:r>
        <w:rPr>
          <w:rStyle w:val="10"/>
        </w:rPr>
        <w:t>Multi-Factor Authentication (MFA)</w:t>
      </w:r>
      <w:r>
        <w:t>:Use MFA to add an extra layer of security. Requiring multiple forms of verification (e.g., passwords, biometrics, one-time codes) reduces the risk of unauthorized access.</w:t>
      </w:r>
      <w:r>
        <w:rPr>
          <w:rStyle w:val="10"/>
        </w:rPr>
        <w:t>Anonymization</w:t>
      </w:r>
      <w:r>
        <w:t>:Remove or obfuscate personally identifiable information (PII) from data before sharing it. Anonymization makes it difficult or impossible to link the data back to individuals, reducing privacy risks.</w:t>
      </w:r>
    </w:p>
    <w:p w14:paraId="26D81061">
      <w:pPr>
        <w:pStyle w:val="11"/>
        <w:numPr>
          <w:ilvl w:val="0"/>
          <w:numId w:val="0"/>
        </w:numPr>
        <w:ind w:left="360" w:leftChars="0"/>
        <w:rPr>
          <w:rFonts w:hint="default"/>
          <w:lang w:val="en-US"/>
        </w:rPr>
      </w:pPr>
    </w:p>
    <w:p w14:paraId="3430BCBC"/>
    <w:p w14:paraId="407B06D5">
      <w:pPr>
        <w:rPr>
          <w:b/>
          <w:bCs/>
        </w:rPr>
      </w:pPr>
      <w:r>
        <w:rPr>
          <w:b/>
          <w:bCs/>
        </w:rPr>
        <w:t xml:space="preserve"> 9. Conclusion</w:t>
      </w:r>
    </w:p>
    <w:p w14:paraId="43B21E28">
      <w:pPr>
        <w:pStyle w:val="11"/>
        <w:numPr>
          <w:ilvl w:val="0"/>
          <w:numId w:val="9"/>
        </w:numPr>
      </w:pPr>
      <w:r>
        <w:t xml:space="preserve">Summary </w:t>
      </w:r>
      <w:r>
        <w:rPr>
          <w:rFonts w:hint="default"/>
          <w:lang w:val="en-US"/>
        </w:rPr>
        <w:t>:</w:t>
      </w:r>
    </w:p>
    <w:p w14:paraId="5B4BD246">
      <w:pPr>
        <w:pStyle w:val="11"/>
        <w:numPr>
          <w:ilvl w:val="0"/>
          <w:numId w:val="0"/>
        </w:numPr>
        <w:ind w:left="360" w:leftChars="0" w:firstLine="330" w:firstLineChars="150"/>
      </w:pPr>
      <w:r>
        <w:t>Cross-border data sharing must comply with international data protection laws such as GDPR, CCPA, and other regional regulations. Organizations often use legal mechanisms like Standard Contractual Clauses (SCCs), Binding Corporate Rules (BCRs), or Data Transfer Agreements to meet these requirements</w:t>
      </w:r>
      <w:r>
        <w:rPr>
          <w:rFonts w:hint="default"/>
          <w:lang w:val="en-US"/>
        </w:rPr>
        <w:t>.</w:t>
      </w:r>
      <w:r>
        <w:rPr>
          <w:rStyle w:val="10"/>
        </w:rPr>
        <w:t>Encryption</w:t>
      </w:r>
      <w:r>
        <w:t>: Data should be encrypted both in transit and at rest using strong encryption protocols to protect it from unauthorized access.</w:t>
      </w:r>
      <w:r>
        <w:rPr>
          <w:rStyle w:val="10"/>
        </w:rPr>
        <w:t>Secure Transfer Protocols</w:t>
      </w:r>
      <w:r>
        <w:t>: Use of secure protocols like VPNs and SFTP ensures safe data transmission across borders.</w:t>
      </w:r>
      <w:r>
        <w:rPr>
          <w:rStyle w:val="10"/>
        </w:rPr>
        <w:t>Access Controls</w:t>
      </w:r>
      <w:r>
        <w:t>: Implementing Role-Based Access Control (RBAC) and Multi-Factor Authentication (MFA) limits access to authorized personnel only.</w:t>
      </w:r>
      <w:r>
        <w:rPr>
          <w:rStyle w:val="10"/>
        </w:rPr>
        <w:t>Anonymization and Pseudonymization</w:t>
      </w:r>
      <w:r>
        <w:t>: Techniques to protect sensitive data by making it difficult to trace back to individuals.</w:t>
      </w:r>
      <w:r>
        <w:rPr>
          <w:rStyle w:val="10"/>
        </w:rPr>
        <w:t>Monitoring and Incident Response</w:t>
      </w:r>
      <w:r>
        <w:t>: Continuous monitoring, logging, and an effective incident response plan are crucial for detecting and responding to security incidents.Efficient data sharing facilitates better global collaboration, improves operational efficiency, and supports business expansion into new markets.However, the process can be resource-intensive, requiring careful planning and execution.Navigating different regulatory environments can be complex and time-consuming.significant challenges that organizations must address.The process also supports business continuity, global integration, and prepares the organization for future data transfers.In conclusion, cross-border data sharing is a complex but essential process for global businesses. It requires a strategic approach to legal compliance, robust security measures, and continuous monitoring to protect data and maintain trust in an increasingly interconnected world.</w:t>
      </w:r>
    </w:p>
    <w:p w14:paraId="058F4D7B">
      <w:pPr>
        <w:pStyle w:val="11"/>
        <w:numPr>
          <w:ilvl w:val="0"/>
          <w:numId w:val="0"/>
        </w:numPr>
        <w:ind w:left="360" w:leftChars="0"/>
        <w:rPr>
          <w:rFonts w:hint="default"/>
          <w:lang w:val="en-US"/>
        </w:rPr>
      </w:pPr>
    </w:p>
    <w:p w14:paraId="1416844E">
      <w:pPr>
        <w:pStyle w:val="11"/>
        <w:numPr>
          <w:ilvl w:val="0"/>
          <w:numId w:val="9"/>
        </w:numPr>
      </w:pPr>
      <w:r>
        <w:t>Recommendations</w:t>
      </w:r>
      <w:r>
        <w:rPr>
          <w:rFonts w:hint="default"/>
          <w:lang w:val="en-US"/>
        </w:rPr>
        <w:t xml:space="preserve"> :</w:t>
      </w:r>
    </w:p>
    <w:p w14:paraId="0E3B0A4E">
      <w:pPr>
        <w:keepNext w:val="0"/>
        <w:keepLines w:val="0"/>
        <w:widowControl/>
        <w:numPr>
          <w:ilvl w:val="0"/>
          <w:numId w:val="0"/>
        </w:numPr>
        <w:suppressLineNumbers w:val="0"/>
        <w:spacing w:before="0" w:beforeAutospacing="1" w:after="0" w:afterAutospacing="1"/>
        <w:ind w:left="360" w:leftChars="0" w:firstLine="220" w:firstLineChars="100"/>
      </w:pPr>
      <w:r>
        <w:rPr>
          <w:rStyle w:val="10"/>
        </w:rPr>
        <w:t>Conduct a Regulatory Review</w:t>
      </w:r>
      <w:r>
        <w:t>: Regularly review and stay updated on data protection laws and regulations in all jurisdictions involved. Ensure compliance with international standards such as GDPR, CCPA, and other relevant frameworks.</w:t>
      </w:r>
      <w:r>
        <w:rPr>
          <w:rStyle w:val="10"/>
        </w:rPr>
        <w:t>Engage Legal Experts</w:t>
      </w:r>
      <w:r>
        <w:t>: Consult with legal professionals who specialize in data protection and privacy to draft and review necessary legal agreements, such as Standard Contractual Clauses (SCCs) or Binding Corporate Rules (BCRs).</w:t>
      </w:r>
      <w:r>
        <w:rPr>
          <w:rStyle w:val="10"/>
        </w:rPr>
        <w:t>Encryption</w:t>
      </w:r>
      <w:r>
        <w:t>: Use strong encryption protocols for data both in transit and at rest. Implement AES-256 or similar encryption standards for data storage and TLS for data transmission.</w:t>
      </w:r>
      <w:r>
        <w:rPr>
          <w:rStyle w:val="10"/>
        </w:rPr>
        <w:t>Secure Transfer Channels</w:t>
      </w:r>
      <w:r>
        <w:t>: Employ secure transfer protocols such as SFTP, VPNs, or HTTPS to protect data during transmission across borders.</w:t>
      </w:r>
      <w:r>
        <w:rPr>
          <w:rStyle w:val="10"/>
        </w:rPr>
        <w:t>Access Controls</w:t>
      </w:r>
      <w:r>
        <w:t xml:space="preserve">: Establish Role-Based Access Control (RBAC) and Multi-Factor Authentication (MFA) to restrict data access to authorized personnel only. </w:t>
      </w:r>
      <w:r>
        <w:rPr>
          <w:rStyle w:val="10"/>
        </w:rPr>
        <w:t>Anonymize Sensitive Data</w:t>
      </w:r>
      <w:r>
        <w:t>: Where possible, anonymize personal data to reduce privacy risks. This ensures that data cannot be linked back to individuals without additional information.</w:t>
      </w:r>
      <w:r>
        <w:rPr>
          <w:rStyle w:val="10"/>
        </w:rPr>
        <w:t>Use Pseudonymization</w:t>
      </w:r>
      <w:r>
        <w:t>: Apply pseudonymization techniques to protect data while still allowing for useful analysis and processing.</w:t>
      </w:r>
      <w:r>
        <w:rPr>
          <w:rStyle w:val="10"/>
        </w:rPr>
        <w:t>Create a Response Plan</w:t>
      </w:r>
      <w:r>
        <w:t>: Develop a comprehensive incident response plan that includes procedures for detecting, containing, and mitigating data breaches or security incidents.</w:t>
      </w:r>
      <w:r>
        <w:rPr>
          <w:rStyle w:val="10"/>
        </w:rPr>
        <w:t>Regularly Test and Update</w:t>
      </w:r>
      <w:r>
        <w:t>: Regularly test the incident response plan through simulations and update it as needed to address new threats or changes in the organization’s operations.</w:t>
      </w:r>
      <w:r>
        <w:rPr>
          <w:rStyle w:val="10"/>
        </w:rPr>
        <w:t>Risk Assessments</w:t>
      </w:r>
      <w:r>
        <w:t>: Perform periodic risk assessments to identify potential vulnerabilities in the data sharing process and address them proactively.</w:t>
      </w:r>
      <w:r>
        <w:rPr>
          <w:rStyle w:val="10"/>
        </w:rPr>
        <w:t>Audits</w:t>
      </w:r>
      <w:r>
        <w:t>: Conduct regular internal and external audits to ensure ongoing compliance with data protection regulations and to verify the effectiveness of security measures.</w:t>
      </w:r>
      <w:r>
        <w:rPr>
          <w:rStyle w:val="10"/>
        </w:rPr>
        <w:t>Real-Time Monitoring</w:t>
      </w:r>
      <w:r>
        <w:t>: Set up real-time monitoring systems to detect and respond to suspicious activities or anomalies in data access and transfer.</w:t>
      </w:r>
      <w:r>
        <w:rPr>
          <w:rStyle w:val="10"/>
        </w:rPr>
        <w:t>Detailed Logging</w:t>
      </w:r>
      <w:r>
        <w:t>: Maintain detailed logs of data transfer activities, including access records, transfer times, and any issues encountered. Ensure these logs are secure and reviewed regularly.</w:t>
      </w:r>
      <w:r>
        <w:rPr>
          <w:rStyle w:val="10"/>
        </w:rPr>
        <w:t>Define Retention Policies</w:t>
      </w:r>
      <w:r>
        <w:t>: Implement data retention policies that specify how long data should be retained and under what conditions. Ensure these policies comply with legal requirements.</w:t>
      </w:r>
      <w:r>
        <w:rPr>
          <w:rStyle w:val="10"/>
        </w:rPr>
        <w:t>Secure Disposal</w:t>
      </w:r>
      <w:r>
        <w:t>: Use secure methods for data disposal when it is no longer needed, such as data wiping or physical destruction of storage media.</w:t>
      </w:r>
      <w:r>
        <w:rPr>
          <w:rStyle w:val="10"/>
        </w:rPr>
        <w:t>Vendor Assessments</w:t>
      </w:r>
      <w:r>
        <w:t>: Evaluate the security practices of third-party vendors and partners involved in data sharing. Ensure they meet the organization’s security and compliance standards.</w:t>
      </w:r>
      <w:r>
        <w:rPr>
          <w:rStyle w:val="10"/>
        </w:rPr>
        <w:t>Data Processing Agreements (DPAs)</w:t>
      </w:r>
      <w:r>
        <w:t>: Establish and enforce DPAs with third parties to define their responsibilities and security measures for handling and transferring data.</w:t>
      </w:r>
      <w:r>
        <w:rPr>
          <w:rStyle w:val="10"/>
        </w:rPr>
        <w:t>Training and Awareness</w:t>
      </w:r>
      <w:r>
        <w:t>: Provide regular training to employees on data protection, security best practices, and compliance requirements. Promote awareness of the importance of data security and privacy.</w:t>
      </w:r>
      <w:r>
        <w:rPr>
          <w:rStyle w:val="10"/>
        </w:rPr>
        <w:t>Promote Accountability</w:t>
      </w:r>
      <w:r>
        <w:t>: Encourage a culture of accountability where employees understand their role in protecting data and are motivated to follow established procedures.</w:t>
      </w:r>
      <w:r>
        <w:rPr>
          <w:rStyle w:val="10"/>
        </w:rPr>
        <w:t>Design Scalable Processes</w:t>
      </w:r>
      <w:r>
        <w:t>: Ensure that the data sharing framework is scalable to accommodate future growth or changes in data protection regulations.</w:t>
      </w:r>
      <w:r>
        <w:rPr>
          <w:rStyle w:val="10"/>
        </w:rPr>
        <w:t>Stay Informed</w:t>
      </w:r>
      <w:r>
        <w:t>: Keep abreast of evolving data protection laws and industry best practices to adapt and improve data sharing processes as needed.</w:t>
      </w:r>
    </w:p>
    <w:p w14:paraId="219AE8CC">
      <w:pPr>
        <w:rPr>
          <w:b/>
          <w:bCs/>
        </w:rPr>
      </w:pPr>
      <w:r>
        <w:rPr>
          <w:b/>
          <w:bCs/>
        </w:rPr>
        <w:t>10. References</w:t>
      </w:r>
    </w:p>
    <w:p w14:paraId="4EE19A79">
      <w:pPr>
        <w:rPr>
          <w:b/>
          <w:bCs/>
        </w:rPr>
      </w:pPr>
      <w:r>
        <w:rPr>
          <w:b/>
          <w:bCs/>
        </w:rPr>
        <w:t>Citations  : Reference Research papers</w:t>
      </w:r>
    </w:p>
    <w:p w14:paraId="0C54DC4A">
      <w:pPr>
        <w:keepNext w:val="0"/>
        <w:keepLines w:val="0"/>
        <w:widowControl/>
        <w:numPr>
          <w:ilvl w:val="0"/>
          <w:numId w:val="10"/>
        </w:numPr>
        <w:suppressLineNumbers w:val="0"/>
        <w:spacing w:before="0" w:beforeAutospacing="1" w:after="0" w:afterAutospacing="1"/>
        <w:ind w:left="720" w:hanging="360"/>
      </w:pPr>
      <w:r>
        <w:rPr>
          <w:rStyle w:val="10"/>
        </w:rPr>
        <w:t>General Data Protection Regulation (GDPR)</w:t>
      </w:r>
      <w:r>
        <w:t>:</w:t>
      </w:r>
    </w:p>
    <w:p w14:paraId="58280ED7">
      <w:pPr>
        <w:keepNext w:val="0"/>
        <w:keepLines w:val="0"/>
        <w:widowControl/>
        <w:numPr>
          <w:ilvl w:val="1"/>
          <w:numId w:val="10"/>
        </w:numPr>
        <w:suppressLineNumbers w:val="0"/>
        <w:spacing w:before="0" w:beforeAutospacing="1" w:after="0" w:afterAutospacing="1"/>
        <w:ind w:left="1440" w:hanging="360"/>
      </w:pPr>
      <w:r>
        <w:t xml:space="preserve">Official Text: </w:t>
      </w:r>
      <w:r>
        <w:fldChar w:fldCharType="begin"/>
      </w:r>
      <w:r>
        <w:instrText xml:space="preserve"> HYPERLINK "https://ec.europa.eu/info/law/law-topic/data-protection_en" \t "_new" </w:instrText>
      </w:r>
      <w:r>
        <w:fldChar w:fldCharType="separate"/>
      </w:r>
      <w:r>
        <w:rPr>
          <w:rStyle w:val="8"/>
        </w:rPr>
        <w:t>European Commission - GDPR</w:t>
      </w:r>
      <w:r>
        <w:fldChar w:fldCharType="end"/>
      </w:r>
    </w:p>
    <w:p w14:paraId="3AE52C5D">
      <w:pPr>
        <w:keepNext w:val="0"/>
        <w:keepLines w:val="0"/>
        <w:widowControl/>
        <w:numPr>
          <w:ilvl w:val="1"/>
          <w:numId w:val="10"/>
        </w:numPr>
        <w:suppressLineNumbers w:val="0"/>
        <w:spacing w:before="0" w:beforeAutospacing="1" w:after="0" w:afterAutospacing="1"/>
        <w:ind w:left="1440" w:hanging="360"/>
      </w:pPr>
      <w:r>
        <w:t>Provides comprehensive guidelines on data protection and privacy, including cross-border data transfers.</w:t>
      </w:r>
    </w:p>
    <w:p w14:paraId="3180D1A3">
      <w:pPr>
        <w:keepNext w:val="0"/>
        <w:keepLines w:val="0"/>
        <w:widowControl/>
        <w:numPr>
          <w:ilvl w:val="0"/>
          <w:numId w:val="10"/>
        </w:numPr>
        <w:suppressLineNumbers w:val="0"/>
        <w:spacing w:before="0" w:beforeAutospacing="1" w:after="0" w:afterAutospacing="1"/>
        <w:ind w:left="720" w:hanging="360"/>
      </w:pPr>
      <w:r>
        <w:rPr>
          <w:rStyle w:val="10"/>
        </w:rPr>
        <w:t>California Consumer Privacy Act (CCPA)</w:t>
      </w:r>
      <w:r>
        <w:t>:</w:t>
      </w:r>
    </w:p>
    <w:p w14:paraId="3E78950E">
      <w:pPr>
        <w:keepNext w:val="0"/>
        <w:keepLines w:val="0"/>
        <w:widowControl/>
        <w:numPr>
          <w:ilvl w:val="1"/>
          <w:numId w:val="11"/>
        </w:numPr>
        <w:suppressLineNumbers w:val="0"/>
        <w:tabs>
          <w:tab w:val="left" w:pos="1440"/>
        </w:tabs>
        <w:spacing w:before="0" w:beforeAutospacing="1" w:after="0" w:afterAutospacing="1"/>
        <w:ind w:left="1440" w:hanging="360"/>
      </w:pPr>
      <w:r>
        <w:t>Official Text: California Legislative Information - CCPA</w:t>
      </w:r>
    </w:p>
    <w:p w14:paraId="6A3B82E3">
      <w:pPr>
        <w:keepNext w:val="0"/>
        <w:keepLines w:val="0"/>
        <w:widowControl/>
        <w:numPr>
          <w:ilvl w:val="1"/>
          <w:numId w:val="11"/>
        </w:numPr>
        <w:suppressLineNumbers w:val="0"/>
        <w:tabs>
          <w:tab w:val="left" w:pos="1440"/>
        </w:tabs>
        <w:spacing w:before="0" w:beforeAutospacing="1" w:after="0" w:afterAutospacing="1"/>
        <w:ind w:left="1440" w:hanging="360"/>
      </w:pPr>
      <w:r>
        <w:t>Details privacy rights and business obligations under California law, including data sharing provisions.</w:t>
      </w:r>
    </w:p>
    <w:p w14:paraId="0B80662E">
      <w:pPr>
        <w:keepNext w:val="0"/>
        <w:keepLines w:val="0"/>
        <w:widowControl/>
        <w:numPr>
          <w:ilvl w:val="0"/>
          <w:numId w:val="10"/>
        </w:numPr>
        <w:suppressLineNumbers w:val="0"/>
        <w:spacing w:before="0" w:beforeAutospacing="1" w:after="0" w:afterAutospacing="1"/>
        <w:ind w:left="720" w:hanging="360"/>
      </w:pPr>
      <w:r>
        <w:rPr>
          <w:rStyle w:val="10"/>
        </w:rPr>
        <w:t>APEC Cross-Border Privacy Rules (CBPR) System</w:t>
      </w:r>
      <w:r>
        <w:t>:</w:t>
      </w:r>
    </w:p>
    <w:p w14:paraId="57E76366">
      <w:pPr>
        <w:keepNext w:val="0"/>
        <w:keepLines w:val="0"/>
        <w:widowControl/>
        <w:numPr>
          <w:ilvl w:val="1"/>
          <w:numId w:val="12"/>
        </w:numPr>
        <w:suppressLineNumbers w:val="0"/>
        <w:tabs>
          <w:tab w:val="left" w:pos="1440"/>
        </w:tabs>
        <w:spacing w:before="0" w:beforeAutospacing="1" w:after="0" w:afterAutospacing="1"/>
        <w:ind w:left="1440" w:hanging="360"/>
      </w:pPr>
      <w:r>
        <w:t>Overview: APEC CBPR System</w:t>
      </w:r>
    </w:p>
    <w:p w14:paraId="3A0F2B3B">
      <w:pPr>
        <w:pStyle w:val="3"/>
        <w:keepNext w:val="0"/>
        <w:keepLines w:val="0"/>
        <w:widowControl/>
        <w:suppressLineNumbers w:val="0"/>
      </w:pPr>
      <w:r>
        <w:t xml:space="preserve">2. </w:t>
      </w:r>
      <w:r>
        <w:rPr>
          <w:rStyle w:val="10"/>
          <w:b/>
          <w:bCs/>
        </w:rPr>
        <w:t>Standards and Guidelines</w:t>
      </w:r>
    </w:p>
    <w:p w14:paraId="7A36DDE6">
      <w:pPr>
        <w:keepNext w:val="0"/>
        <w:keepLines w:val="0"/>
        <w:widowControl/>
        <w:numPr>
          <w:ilvl w:val="0"/>
          <w:numId w:val="0"/>
        </w:numPr>
        <w:suppressLineNumbers w:val="0"/>
        <w:spacing w:before="0" w:beforeAutospacing="1" w:after="0" w:afterAutospacing="1"/>
        <w:ind w:left="1080" w:leftChars="0"/>
      </w:pPr>
      <w:r>
        <w:t xml:space="preserve">Overview: </w:t>
      </w:r>
      <w:r>
        <w:fldChar w:fldCharType="begin"/>
      </w:r>
      <w:r>
        <w:instrText xml:space="preserve"> HYPERLINK "https://www.nist.gov/cyberframework" \t "_new" </w:instrText>
      </w:r>
      <w:r>
        <w:fldChar w:fldCharType="separate"/>
      </w:r>
      <w:r>
        <w:rPr>
          <w:rStyle w:val="8"/>
        </w:rPr>
        <w:t>NIST Cybersecurity Framework</w:t>
      </w:r>
      <w:r>
        <w:fldChar w:fldCharType="end"/>
      </w:r>
    </w:p>
    <w:p w14:paraId="6DB50622">
      <w:pPr>
        <w:keepNext w:val="0"/>
        <w:keepLines w:val="0"/>
        <w:widowControl/>
        <w:numPr>
          <w:ilvl w:val="1"/>
          <w:numId w:val="13"/>
        </w:numPr>
        <w:suppressLineNumbers w:val="0"/>
        <w:spacing w:before="0" w:beforeAutospacing="1" w:after="0" w:afterAutospacing="1"/>
        <w:ind w:left="1440" w:hanging="360"/>
      </w:pPr>
      <w:r>
        <w:t>Offers guidelines for managing and reducing cybersecurity risk, including data protection during transfer.</w:t>
      </w:r>
    </w:p>
    <w:p w14:paraId="15CC3C42">
      <w:pPr>
        <w:pStyle w:val="3"/>
        <w:keepNext w:val="0"/>
        <w:keepLines w:val="0"/>
        <w:widowControl/>
        <w:suppressLineNumbers w:val="0"/>
      </w:pPr>
      <w:r>
        <w:t xml:space="preserve">3. </w:t>
      </w:r>
      <w:r>
        <w:rPr>
          <w:rStyle w:val="10"/>
          <w:b/>
          <w:bCs/>
        </w:rPr>
        <w:t>Security Practices and Protocols</w:t>
      </w:r>
    </w:p>
    <w:p w14:paraId="2579092E">
      <w:pPr>
        <w:keepNext w:val="0"/>
        <w:keepLines w:val="0"/>
        <w:widowControl/>
        <w:numPr>
          <w:ilvl w:val="0"/>
          <w:numId w:val="14"/>
        </w:numPr>
        <w:suppressLineNumbers w:val="0"/>
        <w:spacing w:before="0" w:beforeAutospacing="1" w:after="0" w:afterAutospacing="1"/>
        <w:ind w:left="720" w:hanging="360"/>
      </w:pPr>
      <w:r>
        <w:rPr>
          <w:rStyle w:val="10"/>
        </w:rPr>
        <w:t>Transport Layer Security (TLS)</w:t>
      </w:r>
      <w:r>
        <w:t>:</w:t>
      </w:r>
    </w:p>
    <w:p w14:paraId="405BDD9B">
      <w:pPr>
        <w:keepNext w:val="0"/>
        <w:keepLines w:val="0"/>
        <w:widowControl/>
        <w:numPr>
          <w:ilvl w:val="1"/>
          <w:numId w:val="15"/>
        </w:numPr>
        <w:suppressLineNumbers w:val="0"/>
        <w:tabs>
          <w:tab w:val="left" w:pos="1440"/>
        </w:tabs>
        <w:spacing w:before="0" w:beforeAutospacing="1" w:after="0" w:afterAutospacing="1"/>
        <w:ind w:left="1440" w:hanging="360"/>
      </w:pPr>
      <w:r>
        <w:t>Overview: IETF - TLS</w:t>
      </w:r>
    </w:p>
    <w:p w14:paraId="2F64C7B6">
      <w:pPr>
        <w:keepNext w:val="0"/>
        <w:keepLines w:val="0"/>
        <w:widowControl/>
        <w:numPr>
          <w:ilvl w:val="1"/>
          <w:numId w:val="15"/>
        </w:numPr>
        <w:suppressLineNumbers w:val="0"/>
        <w:tabs>
          <w:tab w:val="left" w:pos="1440"/>
        </w:tabs>
        <w:spacing w:before="0" w:beforeAutospacing="1" w:after="0" w:afterAutospacing="1"/>
        <w:ind w:left="1440" w:hanging="360"/>
      </w:pPr>
      <w:r>
        <w:t>Details the protocol used to secure communications over a computer network.</w:t>
      </w:r>
    </w:p>
    <w:p w14:paraId="0E43B9F9">
      <w:pPr>
        <w:keepNext w:val="0"/>
        <w:keepLines w:val="0"/>
        <w:widowControl/>
        <w:numPr>
          <w:ilvl w:val="0"/>
          <w:numId w:val="14"/>
        </w:numPr>
        <w:suppressLineNumbers w:val="0"/>
        <w:spacing w:before="0" w:beforeAutospacing="1" w:after="0" w:afterAutospacing="1"/>
        <w:ind w:left="720" w:hanging="360"/>
      </w:pPr>
      <w:r>
        <w:rPr>
          <w:rStyle w:val="10"/>
        </w:rPr>
        <w:t>Secure File Transfer Protocol (SFTP)</w:t>
      </w:r>
      <w:r>
        <w:t>:</w:t>
      </w:r>
    </w:p>
    <w:p w14:paraId="450650B9">
      <w:pPr>
        <w:keepNext w:val="0"/>
        <w:keepLines w:val="0"/>
        <w:widowControl/>
        <w:numPr>
          <w:ilvl w:val="1"/>
          <w:numId w:val="16"/>
        </w:numPr>
        <w:suppressLineNumbers w:val="0"/>
        <w:tabs>
          <w:tab w:val="left" w:pos="1440"/>
        </w:tabs>
        <w:spacing w:before="0" w:beforeAutospacing="1" w:after="0" w:afterAutospacing="1"/>
        <w:ind w:left="1440" w:hanging="360"/>
      </w:pPr>
      <w:r>
        <w:t>Overview: SFTP</w:t>
      </w:r>
    </w:p>
    <w:p w14:paraId="56770107">
      <w:pPr>
        <w:keepNext w:val="0"/>
        <w:keepLines w:val="0"/>
        <w:widowControl/>
        <w:numPr>
          <w:ilvl w:val="1"/>
          <w:numId w:val="16"/>
        </w:numPr>
        <w:suppressLineNumbers w:val="0"/>
        <w:tabs>
          <w:tab w:val="left" w:pos="1440"/>
        </w:tabs>
        <w:spacing w:before="0" w:beforeAutospacing="1" w:after="0" w:afterAutospacing="1"/>
        <w:ind w:left="1440" w:hanging="360"/>
      </w:pPr>
      <w:r>
        <w:t>Describes the secure method for transferring files over a network.</w:t>
      </w:r>
    </w:p>
    <w:p w14:paraId="3F3F530F">
      <w:pPr>
        <w:pStyle w:val="3"/>
        <w:keepNext w:val="0"/>
        <w:keepLines w:val="0"/>
        <w:widowControl/>
        <w:suppressLineNumbers w:val="0"/>
      </w:pPr>
      <w:r>
        <w:t xml:space="preserve">4. </w:t>
      </w:r>
      <w:r>
        <w:rPr>
          <w:rStyle w:val="10"/>
          <w:b/>
          <w:bCs/>
        </w:rPr>
        <w:t>Data Anonymization and Pseudonymization</w:t>
      </w:r>
    </w:p>
    <w:p w14:paraId="4D0619C9">
      <w:pPr>
        <w:keepNext w:val="0"/>
        <w:keepLines w:val="0"/>
        <w:widowControl/>
        <w:numPr>
          <w:ilvl w:val="0"/>
          <w:numId w:val="17"/>
        </w:numPr>
        <w:suppressLineNumbers w:val="0"/>
        <w:spacing w:before="0" w:beforeAutospacing="1" w:after="0" w:afterAutospacing="1"/>
        <w:ind w:left="720" w:hanging="360"/>
      </w:pPr>
      <w:r>
        <w:rPr>
          <w:rStyle w:val="10"/>
        </w:rPr>
        <w:t>European Data Protection Board (EDPB) Guidelines on Data Anonymization</w:t>
      </w:r>
      <w:r>
        <w:t>:</w:t>
      </w:r>
    </w:p>
    <w:p w14:paraId="5EBF976F">
      <w:pPr>
        <w:keepNext w:val="0"/>
        <w:keepLines w:val="0"/>
        <w:widowControl/>
        <w:numPr>
          <w:ilvl w:val="1"/>
          <w:numId w:val="18"/>
        </w:numPr>
        <w:suppressLineNumbers w:val="0"/>
        <w:tabs>
          <w:tab w:val="left" w:pos="1440"/>
        </w:tabs>
        <w:spacing w:before="0" w:beforeAutospacing="1" w:after="0" w:afterAutospacing="1"/>
        <w:ind w:left="1440" w:hanging="360"/>
      </w:pPr>
      <w:r>
        <w:t xml:space="preserve">Guidelines: </w:t>
      </w:r>
      <w:r>
        <w:fldChar w:fldCharType="begin"/>
      </w:r>
      <w:r>
        <w:instrText xml:space="preserve"> HYPERLINK "https://edpb.europa.eu/our-work-tools/our-documents/public-consultation/2020/guidelines-520-anonymisation-2020_en" \t "_new" </w:instrText>
      </w:r>
      <w:r>
        <w:fldChar w:fldCharType="separate"/>
      </w:r>
      <w:r>
        <w:rPr>
          <w:rStyle w:val="8"/>
        </w:rPr>
        <w:t>EDPB Guidelines on Data Anonymization</w:t>
      </w:r>
      <w:r>
        <w:fldChar w:fldCharType="end"/>
      </w:r>
    </w:p>
    <w:p w14:paraId="12FA8C3E">
      <w:pPr>
        <w:keepNext w:val="0"/>
        <w:keepLines w:val="0"/>
        <w:widowControl/>
        <w:numPr>
          <w:ilvl w:val="1"/>
          <w:numId w:val="18"/>
        </w:numPr>
        <w:suppressLineNumbers w:val="0"/>
        <w:tabs>
          <w:tab w:val="left" w:pos="1440"/>
        </w:tabs>
        <w:spacing w:before="0" w:beforeAutospacing="1" w:after="0" w:afterAutospacing="1"/>
        <w:ind w:left="1440" w:hanging="360"/>
      </w:pPr>
      <w:r>
        <w:t>Provides detailed guidance on methods for anonymizing data to protect privacy.</w:t>
      </w:r>
    </w:p>
    <w:p w14:paraId="584FAB37">
      <w:pPr>
        <w:keepNext w:val="0"/>
        <w:keepLines w:val="0"/>
        <w:widowControl/>
        <w:numPr>
          <w:ilvl w:val="0"/>
          <w:numId w:val="17"/>
        </w:numPr>
        <w:suppressLineNumbers w:val="0"/>
        <w:spacing w:before="0" w:beforeAutospacing="1" w:after="0" w:afterAutospacing="1"/>
        <w:ind w:left="720" w:hanging="360"/>
      </w:pPr>
      <w:r>
        <w:rPr>
          <w:rStyle w:val="10"/>
        </w:rPr>
        <w:t>NIST Special Publication 800-188</w:t>
      </w:r>
      <w:r>
        <w:t>:</w:t>
      </w:r>
    </w:p>
    <w:p w14:paraId="5C7FC73F">
      <w:pPr>
        <w:keepNext w:val="0"/>
        <w:keepLines w:val="0"/>
        <w:widowControl/>
        <w:numPr>
          <w:ilvl w:val="1"/>
          <w:numId w:val="19"/>
        </w:numPr>
        <w:suppressLineNumbers w:val="0"/>
        <w:tabs>
          <w:tab w:val="left" w:pos="1440"/>
        </w:tabs>
        <w:spacing w:before="0" w:beforeAutospacing="1" w:after="0" w:afterAutospacing="1"/>
        <w:ind w:left="1440" w:hanging="360"/>
      </w:pPr>
      <w:r>
        <w:t xml:space="preserve">Overview: </w:t>
      </w:r>
      <w:r>
        <w:fldChar w:fldCharType="begin"/>
      </w:r>
      <w:r>
        <w:instrText xml:space="preserve"> HYPERLINK "https://nvlpubs.nist.gov/nistpubs/SpecialPublications/NIST.SP.800-188.pdf" \t "_new" </w:instrText>
      </w:r>
      <w:r>
        <w:fldChar w:fldCharType="separate"/>
      </w:r>
      <w:r>
        <w:rPr>
          <w:rStyle w:val="8"/>
        </w:rPr>
        <w:t>NIST SP 800-188 - De-Identification of Personal Information</w:t>
      </w:r>
      <w:r>
        <w:fldChar w:fldCharType="end"/>
      </w:r>
    </w:p>
    <w:p w14:paraId="0874F731">
      <w:pPr>
        <w:keepNext w:val="0"/>
        <w:keepLines w:val="0"/>
        <w:widowControl/>
        <w:numPr>
          <w:ilvl w:val="1"/>
          <w:numId w:val="19"/>
        </w:numPr>
        <w:suppressLineNumbers w:val="0"/>
        <w:tabs>
          <w:tab w:val="left" w:pos="1440"/>
        </w:tabs>
        <w:spacing w:before="0" w:beforeAutospacing="1" w:after="0" w:afterAutospacing="1"/>
        <w:ind w:left="1440" w:hanging="360"/>
      </w:pPr>
      <w:r>
        <w:t>Discusses techniques for de-identifying personal data.</w:t>
      </w:r>
    </w:p>
    <w:p w14:paraId="50C0B82C">
      <w:pPr>
        <w:pStyle w:val="3"/>
        <w:keepNext w:val="0"/>
        <w:keepLines w:val="0"/>
        <w:widowControl/>
        <w:suppressLineNumbers w:val="0"/>
      </w:pPr>
      <w:r>
        <w:t xml:space="preserve">5. </w:t>
      </w:r>
      <w:r>
        <w:rPr>
          <w:rStyle w:val="10"/>
          <w:b/>
          <w:bCs/>
        </w:rPr>
        <w:t>Incident Response and Management</w:t>
      </w:r>
    </w:p>
    <w:p w14:paraId="344C1F97">
      <w:pPr>
        <w:keepNext w:val="0"/>
        <w:keepLines w:val="0"/>
        <w:widowControl/>
        <w:numPr>
          <w:ilvl w:val="0"/>
          <w:numId w:val="20"/>
        </w:numPr>
        <w:suppressLineNumbers w:val="0"/>
        <w:spacing w:before="0" w:beforeAutospacing="1" w:after="0" w:afterAutospacing="1"/>
        <w:ind w:left="720" w:hanging="360"/>
      </w:pPr>
      <w:r>
        <w:rPr>
          <w:rStyle w:val="10"/>
        </w:rPr>
        <w:t>NIST Computer Security Incident Handling Guide</w:t>
      </w:r>
      <w:r>
        <w:t>:</w:t>
      </w:r>
    </w:p>
    <w:p w14:paraId="4C8AE2B4">
      <w:pPr>
        <w:keepNext w:val="0"/>
        <w:keepLines w:val="0"/>
        <w:widowControl/>
        <w:numPr>
          <w:ilvl w:val="1"/>
          <w:numId w:val="21"/>
        </w:numPr>
        <w:suppressLineNumbers w:val="0"/>
        <w:tabs>
          <w:tab w:val="left" w:pos="1440"/>
        </w:tabs>
        <w:spacing w:before="0" w:beforeAutospacing="1" w:after="0" w:afterAutospacing="1"/>
        <w:ind w:left="1440" w:hanging="360"/>
      </w:pPr>
      <w:r>
        <w:t xml:space="preserve">Overview: </w:t>
      </w:r>
      <w:r>
        <w:fldChar w:fldCharType="begin"/>
      </w:r>
      <w:r>
        <w:instrText xml:space="preserve"> HYPERLINK "https://nvlpubs.nist.gov/nistpubs/Legacy/SP/nistspecialpublication800-61.pdf" \t "_new" </w:instrText>
      </w:r>
      <w:r>
        <w:fldChar w:fldCharType="separate"/>
      </w:r>
      <w:r>
        <w:rPr>
          <w:rStyle w:val="8"/>
        </w:rPr>
        <w:t>NIST SP 800-61 - Computer Security Incident Handling Guide</w:t>
      </w:r>
      <w:r>
        <w:fldChar w:fldCharType="end"/>
      </w:r>
    </w:p>
    <w:p w14:paraId="291A3104">
      <w:pPr>
        <w:keepNext w:val="0"/>
        <w:keepLines w:val="0"/>
        <w:widowControl/>
        <w:numPr>
          <w:ilvl w:val="1"/>
          <w:numId w:val="21"/>
        </w:numPr>
        <w:suppressLineNumbers w:val="0"/>
        <w:tabs>
          <w:tab w:val="left" w:pos="1440"/>
        </w:tabs>
        <w:spacing w:before="0" w:beforeAutospacing="1" w:after="0" w:afterAutospacing="1"/>
        <w:ind w:left="1440" w:hanging="360"/>
      </w:pPr>
      <w:r>
        <w:t>Provides guidelines for responding to and managing cybersecurity incidents.</w:t>
      </w:r>
    </w:p>
    <w:p w14:paraId="0AE481AF">
      <w:pPr>
        <w:rPr>
          <w:b/>
          <w:bCs/>
        </w:rPr>
      </w:pPr>
    </w:p>
    <w:p w14:paraId="6055D292">
      <w:pPr>
        <w:rPr>
          <w:b/>
          <w:bCs/>
        </w:rPr>
      </w:pPr>
    </w:p>
    <w:p w14:paraId="502C6B5C">
      <w:pPr>
        <w:rPr>
          <w:b/>
          <w:bCs/>
        </w:rPr>
      </w:pPr>
    </w:p>
    <w:p w14:paraId="1C506531">
      <w:pPr>
        <w:rPr>
          <w:rFonts w:hint="default"/>
          <w:b/>
          <w:bCs/>
          <w:lang w:val="en-US"/>
        </w:rPr>
      </w:pPr>
      <w:r>
        <w:rPr>
          <w:b/>
          <w:bCs/>
        </w:rPr>
        <w:t>NAME:</w:t>
      </w:r>
      <w:r>
        <w:rPr>
          <w:rFonts w:hint="default"/>
          <w:b/>
          <w:bCs/>
          <w:lang w:val="en-US"/>
        </w:rPr>
        <w:t xml:space="preserve"> N.SAHANA</w:t>
      </w:r>
    </w:p>
    <w:p w14:paraId="5346DA3F">
      <w:pPr>
        <w:rPr>
          <w:rFonts w:hint="default"/>
          <w:b/>
          <w:bCs/>
          <w:lang w:val="en-US"/>
        </w:rPr>
      </w:pPr>
      <w:r>
        <w:rPr>
          <w:b/>
          <w:bCs/>
        </w:rPr>
        <w:t>ID-NUMBER:</w:t>
      </w:r>
      <w:r>
        <w:rPr>
          <w:rFonts w:hint="default"/>
          <w:b/>
          <w:bCs/>
          <w:lang w:val="en-US"/>
        </w:rPr>
        <w:t>2320030036</w:t>
      </w:r>
    </w:p>
    <w:p w14:paraId="602F8DBC">
      <w:pPr>
        <w:rPr>
          <w:rFonts w:hint="default"/>
          <w:b/>
          <w:bCs/>
          <w:lang w:val="en-US"/>
        </w:rPr>
      </w:pPr>
      <w:r>
        <w:rPr>
          <w:b/>
          <w:bCs/>
        </w:rPr>
        <w:t>SECTION-NO:</w:t>
      </w:r>
      <w:r>
        <w:rPr>
          <w:rFonts w:hint="default"/>
          <w:b/>
          <w:bCs/>
          <w:lang w:val="en-US"/>
        </w:rPr>
        <w:t xml:space="preserve"> 1</w:t>
      </w:r>
    </w:p>
    <w:p w14:paraId="7D395A76">
      <w:pPr>
        <w:rPr>
          <w:b/>
          <w:bCs/>
        </w:rPr>
      </w:pPr>
    </w:p>
    <w:p w14:paraId="4840F3A0"/>
    <w:p w14:paraId="4EA9F4E3"/>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autami">
    <w:altName w:val="Segoe UI Symbol"/>
    <w:panose1 w:val="02000500000000000000"/>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D7B149">
    <w:pPr>
      <w:pStyle w:val="7"/>
    </w:pPr>
    <w:r>
      <w:drawing>
        <wp:inline distT="0" distB="0" distL="0" distR="0">
          <wp:extent cx="6206490" cy="810260"/>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60593"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1800EC"/>
    <w:multiLevelType w:val="multilevel"/>
    <w:tmpl w:val="C21800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2A71CEE"/>
    <w:multiLevelType w:val="multilevel"/>
    <w:tmpl w:val="C2A71C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DFB6CD4"/>
    <w:multiLevelType w:val="multilevel"/>
    <w:tmpl w:val="CDFB6C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1AEA55F"/>
    <w:multiLevelType w:val="singleLevel"/>
    <w:tmpl w:val="11AEA55F"/>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4">
    <w:nsid w:val="151FD4D1"/>
    <w:multiLevelType w:val="multilevel"/>
    <w:tmpl w:val="151FD4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391956C9"/>
    <w:multiLevelType w:val="multilevel"/>
    <w:tmpl w:val="391956C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48E00A62"/>
    <w:multiLevelType w:val="multilevel"/>
    <w:tmpl w:val="48E00A6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4602E53"/>
    <w:multiLevelType w:val="multilevel"/>
    <w:tmpl w:val="54602E5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6D1E75C"/>
    <w:multiLevelType w:val="singleLevel"/>
    <w:tmpl w:val="56D1E75C"/>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9">
    <w:nsid w:val="5BD07A12"/>
    <w:multiLevelType w:val="multilevel"/>
    <w:tmpl w:val="5BD07A1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5DA96189"/>
    <w:multiLevelType w:val="multilevel"/>
    <w:tmpl w:val="5DA9618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69B17EA2"/>
    <w:multiLevelType w:val="multilevel"/>
    <w:tmpl w:val="69B17EA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7C6F7DFA"/>
    <w:multiLevelType w:val="multilevel"/>
    <w:tmpl w:val="7C6F7DF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7D2962AA"/>
    <w:multiLevelType w:val="multilevel"/>
    <w:tmpl w:val="7D2962A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9"/>
  </w:num>
  <w:num w:numId="2">
    <w:abstractNumId w:val="13"/>
  </w:num>
  <w:num w:numId="3">
    <w:abstractNumId w:val="3"/>
  </w:num>
  <w:num w:numId="4">
    <w:abstractNumId w:val="12"/>
  </w:num>
  <w:num w:numId="5">
    <w:abstractNumId w:val="11"/>
  </w:num>
  <w:num w:numId="6">
    <w:abstractNumId w:val="7"/>
  </w:num>
  <w:num w:numId="7">
    <w:abstractNumId w:val="8"/>
  </w:num>
  <w:num w:numId="8">
    <w:abstractNumId w:val="10"/>
  </w:num>
  <w:num w:numId="9">
    <w:abstractNumId w:val="6"/>
  </w:num>
  <w:num w:numId="10">
    <w:abstractNumId w:val="5"/>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D13"/>
    <w:rsid w:val="005B38BA"/>
    <w:rsid w:val="008F6131"/>
    <w:rsid w:val="00C60D13"/>
    <w:rsid w:val="00CD64FF"/>
    <w:rsid w:val="00D34511"/>
    <w:rsid w:val="1C597606"/>
    <w:rsid w:val="52216DE2"/>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cs="Gautami" w:asciiTheme="minorHAnsi" w:hAnsiTheme="minorHAnsi" w:eastAsiaTheme="minorHAnsi"/>
      <w:kern w:val="2"/>
      <w:sz w:val="22"/>
      <w:szCs w:val="22"/>
      <w:lang w:val="en-US" w:eastAsia="en-US" w:bidi="te-IN"/>
      <w14:ligatures w14:val="standardContextual"/>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link w:val="13"/>
    <w:unhideWhenUsed/>
    <w:qFormat/>
    <w:uiPriority w:val="99"/>
    <w:pPr>
      <w:tabs>
        <w:tab w:val="center" w:pos="4680"/>
        <w:tab w:val="right" w:pos="9360"/>
      </w:tabs>
      <w:spacing w:after="0" w:line="240" w:lineRule="auto"/>
    </w:pPr>
  </w:style>
  <w:style w:type="paragraph" w:styleId="7">
    <w:name w:val="header"/>
    <w:basedOn w:val="1"/>
    <w:link w:val="12"/>
    <w:unhideWhenUsed/>
    <w:uiPriority w:val="99"/>
    <w:pPr>
      <w:tabs>
        <w:tab w:val="center" w:pos="4680"/>
        <w:tab w:val="right" w:pos="9360"/>
      </w:tabs>
      <w:spacing w:after="0" w:line="240" w:lineRule="auto"/>
    </w:pPr>
  </w:style>
  <w:style w:type="character" w:styleId="8">
    <w:name w:val="Hyperlink"/>
    <w:basedOn w:val="4"/>
    <w:semiHidden/>
    <w:unhideWhenUsed/>
    <w:uiPriority w:val="99"/>
    <w:rPr>
      <w:color w:val="0000FF"/>
      <w:u w:val="single"/>
    </w:rPr>
  </w:style>
  <w:style w:type="paragraph" w:styleId="9">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22"/>
    <w:rPr>
      <w:b/>
      <w:bCs/>
    </w:rPr>
  </w:style>
  <w:style w:type="paragraph" w:styleId="11">
    <w:name w:val="List Paragraph"/>
    <w:basedOn w:val="1"/>
    <w:qFormat/>
    <w:uiPriority w:val="34"/>
    <w:pPr>
      <w:ind w:left="720"/>
      <w:contextualSpacing/>
    </w:pPr>
  </w:style>
  <w:style w:type="character" w:customStyle="1" w:styleId="12">
    <w:name w:val="Header Char"/>
    <w:basedOn w:val="4"/>
    <w:link w:val="7"/>
    <w:qFormat/>
    <w:uiPriority w:val="99"/>
    <w:rPr>
      <w:rFonts w:cs="Gautami"/>
    </w:rPr>
  </w:style>
  <w:style w:type="character" w:customStyle="1" w:styleId="13">
    <w:name w:val="Footer Char"/>
    <w:basedOn w:val="4"/>
    <w:link w:val="6"/>
    <w:qFormat/>
    <w:uiPriority w:val="99"/>
    <w:rPr>
      <w:rFonts w:cs="Gautam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74</Words>
  <Characters>428</Characters>
  <Lines>3</Lines>
  <Paragraphs>1</Paragraphs>
  <TotalTime>25</TotalTime>
  <ScaleCrop>false</ScaleCrop>
  <LinksUpToDate>false</LinksUpToDate>
  <CharactersWithSpaces>501</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2024-08-14T10:35:00Z</dcterms:created>
  <dc:creator>Pothuri Lakshmi Harika .</dc:creator>
  <cp:lastModifiedBy>Sahana</cp:lastModifiedBy>
  <dcterms:modified xsi:type="dcterms:W3CDTF">2024-08-18T11:18:45Z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3C6230AFC49244BC8B10EFFA8B5E5960_13</vt:lpwstr>
  </property>
</Properties>
</file>