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Měření kapacity kondenzátorů</w:t>
      </w:r>
    </w:p>
    <w:p>
      <w:pPr>
        <w:pStyle w:val="Normal"/>
        <w:rPr/>
      </w:pPr>
      <w:r>
        <w:rPr/>
      </w:r>
    </w:p>
    <w:p>
      <w:pPr>
        <w:pStyle w:val="Heading2"/>
        <w:rPr/>
      </w:pPr>
      <w:r>
        <w:rPr/>
        <w:t>Úkol měření</w:t>
      </w:r>
    </w:p>
    <w:p>
      <w:pPr>
        <w:pStyle w:val="ListParagraph"/>
        <w:numPr>
          <w:ilvl w:val="0"/>
          <w:numId w:val="1"/>
        </w:numPr>
        <w:rPr/>
      </w:pPr>
      <w:r>
        <w:rPr/>
        <w:t>V rámci domácí přípravy nastudujte problematiku kondenzátorů jako součástek elektronických obvodů, dále problematiku elektrostatického pole a základní a charakteristické vlastnosti izolantů.</w:t>
      </w:r>
    </w:p>
    <w:p>
      <w:pPr>
        <w:pStyle w:val="ListParagraph"/>
        <w:numPr>
          <w:ilvl w:val="0"/>
          <w:numId w:val="1"/>
        </w:numPr>
        <w:rPr/>
      </w:pPr>
      <w:r>
        <w:rPr/>
        <w:t>Do závěrečných poznámek zpracujte v rámci domácí přípravy přehled druhů vyráběných kondenzátorů (výpis z katalogových listů), jejich vlastnosti, orientační cenové relace apod. Dále zpracujte přehled veličin používaných pro popis elektrostatického pole a vztahů mezi nimi.</w:t>
      </w:r>
    </w:p>
    <w:p>
      <w:pPr>
        <w:pStyle w:val="ListParagraph"/>
        <w:numPr>
          <w:ilvl w:val="0"/>
          <w:numId w:val="1"/>
        </w:numPr>
        <w:rPr/>
      </w:pPr>
      <w:r>
        <w:rPr/>
        <w:t>Změřte kapacitu kondenzátorů C</w:t>
      </w:r>
      <w:r>
        <w:rPr>
          <w:vertAlign w:val="subscript"/>
        </w:rPr>
        <w:t>1</w:t>
      </w:r>
      <w:r>
        <w:rPr/>
        <w:t>, C</w:t>
      </w:r>
      <w:r>
        <w:rPr>
          <w:vertAlign w:val="subscript"/>
        </w:rPr>
        <w:t>2</w:t>
      </w:r>
      <w:r>
        <w:rPr/>
        <w:t xml:space="preserve"> a C</w:t>
      </w:r>
      <w:r>
        <w:rPr>
          <w:vertAlign w:val="subscript"/>
        </w:rPr>
        <w:t>3</w:t>
      </w:r>
      <w:r>
        <w:rPr/>
        <w:t xml:space="preserve"> LCR můstkem.</w:t>
      </w:r>
    </w:p>
    <w:p>
      <w:pPr>
        <w:pStyle w:val="ListParagraph"/>
        <w:numPr>
          <w:ilvl w:val="0"/>
          <w:numId w:val="1"/>
        </w:numPr>
        <w:rPr/>
      </w:pPr>
      <w:r>
        <w:rPr/>
        <w:t>Vypočítejte výslednou kapacitu jejich sériové a paralelní kombinace. Také hodnoty těchto kombinací změřte LCR můstkem.</w:t>
      </w:r>
    </w:p>
    <w:p>
      <w:pPr>
        <w:pStyle w:val="ListParagraph"/>
        <w:numPr>
          <w:ilvl w:val="0"/>
          <w:numId w:val="1"/>
        </w:numPr>
        <w:rPr/>
      </w:pPr>
      <w:r>
        <w:rPr/>
        <w:t>Změřte kapacitu jednotlivých kondenzátorů dále sériové a paralelní kombinace nepřímo Ohmovou metodou.</w:t>
      </w:r>
    </w:p>
    <w:p>
      <w:pPr>
        <w:pStyle w:val="ListParagraph"/>
        <w:numPr>
          <w:ilvl w:val="0"/>
          <w:numId w:val="1"/>
        </w:numPr>
        <w:rPr/>
      </w:pPr>
      <w:r>
        <w:rPr/>
        <w:t>Vypočítejte chybu měření kapacity.</w:t>
      </w:r>
    </w:p>
    <w:p>
      <w:pPr>
        <w:pStyle w:val="ListParagraph"/>
        <w:numPr>
          <w:ilvl w:val="0"/>
          <w:numId w:val="1"/>
        </w:numPr>
        <w:rPr/>
      </w:pPr>
      <w:r>
        <w:rPr/>
        <w:t>Zjistěte závislost proudu procházejícího kondenzátorem C</w:t>
      </w:r>
      <w:r>
        <w:rPr>
          <w:vertAlign w:val="subscript"/>
        </w:rPr>
        <w:t>1</w:t>
      </w:r>
      <w:r>
        <w:rPr/>
        <w:t xml:space="preserve"> na napětí při napájení kondenzátoru střídavým napětím s konstantním kmitočtem.</w:t>
      </w:r>
    </w:p>
    <w:p>
      <w:pPr>
        <w:pStyle w:val="ListParagraph"/>
        <w:numPr>
          <w:ilvl w:val="0"/>
          <w:numId w:val="1"/>
        </w:numPr>
        <w:rPr/>
      </w:pPr>
      <w:r>
        <w:rPr/>
        <w:t xml:space="preserve">Zjistěte závislost kapacitní reaktance </w:t>
      </w:r>
      <w:r>
        <w:rPr>
          <w:i/>
        </w:rPr>
        <w:t>X</w:t>
      </w:r>
      <w:r>
        <w:rPr>
          <w:vertAlign w:val="subscript"/>
        </w:rPr>
        <w:t>C</w:t>
      </w:r>
      <w:r>
        <w:rPr/>
        <w:t xml:space="preserve"> na kmitočtu </w:t>
      </w:r>
      <w:r>
        <w:rPr>
          <w:i/>
          <w:iCs/>
        </w:rPr>
        <w:t>f</w:t>
      </w:r>
      <w:r>
        <w:rPr/>
        <w:t xml:space="preserve"> v rozsahu 20 až 150 Hz.</w:t>
      </w:r>
    </w:p>
    <w:p>
      <w:pPr>
        <w:pStyle w:val="ListParagraph"/>
        <w:numPr>
          <w:ilvl w:val="0"/>
          <w:numId w:val="1"/>
        </w:numPr>
        <w:rPr/>
      </w:pPr>
      <w:r>
        <w:rPr/>
        <w:t>Výše uvedené závislosti zpracujte graficky.</w:t>
      </w:r>
    </w:p>
    <w:p>
      <w:pPr>
        <w:pStyle w:val="ListParagraph"/>
        <w:numPr>
          <w:ilvl w:val="0"/>
          <w:numId w:val="1"/>
        </w:numPr>
        <w:rPr/>
      </w:pPr>
      <w:r>
        <w:rPr/>
        <w:t>Zhodnoťte měření.</w:t>
      </w:r>
    </w:p>
    <w:p>
      <w:pPr>
        <w:pStyle w:val="Normal"/>
        <w:rPr/>
      </w:pPr>
      <w:r>
        <w:rPr/>
      </w:r>
    </w:p>
    <w:p>
      <w:pPr>
        <w:pStyle w:val="Heading2"/>
        <w:rPr/>
      </w:pPr>
      <w:r>
        <w:rPr/>
        <w:t>Obecná část</w:t>
      </w:r>
    </w:p>
    <w:p>
      <w:pPr>
        <w:pStyle w:val="Normal"/>
        <w:rPr/>
      </w:pPr>
      <w:r>
        <w:rPr/>
        <w:t>Kapacity kondenzátorů lze měřit přímou metodou (nejčastěji pomocí můstku, např. Scheringova) nebo nepřímou metodou (Ohmova metoda).</w:t>
      </w:r>
    </w:p>
    <w:p>
      <w:pPr>
        <w:pStyle w:val="Normal"/>
        <w:rPr/>
      </w:pPr>
      <w:r>
        <w:rPr/>
        <w:t>Ohmova metoda spočívá v měření napětí na kondenzátoru a proudu jako jeho následku. Zanedbáváme tak ztrátový činitel tg</w:t>
      </w:r>
      <w:r>
        <w:rPr>
          <w:rFonts w:ascii="Symbol" w:hAnsi="Symbol"/>
        </w:rPr>
        <w:t></w:t>
      </w:r>
      <w:r>
        <w:rPr/>
        <w:t>.</w:t>
      </w:r>
    </w:p>
    <w:p>
      <w:pPr>
        <w:pStyle w:val="Normal"/>
        <w:rPr/>
      </w:pPr>
      <w:r>
        <w:rPr/>
        <w:t>V případě použití můstku je potřeba můstek kalibrovat na nulovou hodnotu podle návodu výrobce můstku.</w:t>
      </w:r>
    </w:p>
    <w:p>
      <w:pPr>
        <w:pStyle w:val="Normal"/>
        <w:rPr/>
      </w:pPr>
      <w:r>
        <w:rPr/>
        <w:t>V případě paralelní kombinace kondenzátorů obdržíme výslednou kapacitu součtem jednotlivých kapacit:</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1</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C</m:t>
              </m:r>
            </m:e>
            <m:sub>
              <m:r>
                <w:rPr>
                  <w:rFonts w:ascii="Cambria Math" w:hAnsi="Cambria Math"/>
                </w:rPr>
                <m:t xml:space="preserve">N</m:t>
              </m:r>
            </m:sub>
          </m:sSub>
        </m:oMath>
      </m:oMathPara>
    </w:p>
    <w:p>
      <w:pPr>
        <w:pStyle w:val="Normal"/>
        <w:rPr/>
      </w:pPr>
      <w:r>
        <w:rPr/>
        <w:t>Sériová kombinace dvou kondenzátorů má celkovou kapacitu dánu vztahem:</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2</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S</m:t>
              </m:r>
              <m:r>
                <w:rPr>
                  <w:rFonts w:ascii="Cambria Math" w:hAnsi="Cambria Math"/>
                </w:rPr>
                <m:t xml:space="preserve">2</m:t>
              </m:r>
            </m:sub>
          </m:sSub>
          <m:r>
            <w:rPr>
              <w:rFonts w:ascii="Cambria Math" w:hAnsi="Cambria Math"/>
            </w:rPr>
            <m:t xml:space="preserve">=</m:t>
          </m:r>
          <m:f>
            <m:num>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num>
            <m:den>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den>
          </m:f>
        </m:oMath>
      </m:oMathPara>
    </w:p>
    <w:p>
      <w:pPr>
        <w:pStyle w:val="Normal"/>
        <w:rPr/>
      </w:pPr>
      <w:r>
        <w:rPr/>
        <w:t>Výše uvedený vztah lze jednoduše odvodit z obecného vztahu pro celkovou kapacitu sériové kombinace obecného množství kondenzátorů:</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3</w:t>
      </w:r>
      <w:r>
        <w:rPr/>
        <w:fldChar w:fldCharType="end"/>
      </w:r>
    </w:p>
    <w:p>
      <w:pPr>
        <w:pStyle w:val="Normal"/>
        <w:jc w:val="center"/>
        <w:rPr/>
      </w:pPr>
      <w:r>
        <w:rPr/>
      </w:r>
      <m:oMathPara xmlns:m="http://schemas.openxmlformats.org/officeDocument/2006/math">
        <m:oMathParaPr>
          <m:jc m:val="center"/>
        </m:oMathParaPr>
        <m:oMath>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S</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N</m:t>
                  </m:r>
                </m:sub>
              </m:sSub>
            </m:den>
          </m:f>
        </m:oMath>
      </m:oMathPara>
    </w:p>
    <w:p>
      <w:pPr>
        <w:pStyle w:val="Normal"/>
        <w:rPr/>
      </w:pPr>
      <w:r>
        <w:rPr/>
        <w:t>Kapacitní reaktance je nepřímo úměrná kmitočtu i kapacitě kondenzátoru podle vztahu:</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4</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C</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ω</m:t>
              </m:r>
              <m:r>
                <w:rPr>
                  <w:rFonts w:ascii="Cambria Math" w:hAnsi="Cambria Math"/>
                </w:rPr>
                <m:t xml:space="preserve">∗</m:t>
              </m:r>
              <m:r>
                <w:rPr>
                  <w:rFonts w:ascii="Cambria Math" w:hAnsi="Cambria Math"/>
                </w:rPr>
                <m:t xml:space="preserve">C</m:t>
              </m:r>
            </m:den>
          </m:f>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den>
          </m:f>
          <m:r>
            <w:rPr>
              <w:rFonts w:ascii="Cambria Math" w:hAnsi="Cambria Math"/>
            </w:rPr>
            <m:t xml:space="preserve">;</m:t>
          </m:r>
          <m:d>
            <m:dPr>
              <m:begChr m:val="("/>
              <m:endChr m:val=")"/>
            </m:dPr>
            <m:e>
              <m:r>
                <w:rPr>
                  <w:rFonts w:ascii="Cambria Math" w:hAnsi="Cambria Math"/>
                </w:rPr>
                <m:t xml:space="preserve">Ω</m:t>
              </m:r>
            </m:e>
          </m:d>
        </m:oMath>
      </m:oMathPara>
    </w:p>
    <w:p>
      <w:pPr>
        <w:pStyle w:val="Normal"/>
        <w:rPr/>
      </w:pPr>
      <w:r>
        <w:rPr/>
        <w:t>Pro střídavě napájený ideální kondenzátor z Ohmova zákona platí:</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5</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C</m:t>
              </m:r>
            </m:sub>
          </m:sSub>
          <m:r>
            <w:rPr>
              <w:rFonts w:ascii="Cambria Math" w:hAnsi="Cambria Math"/>
            </w:rPr>
            <m:t xml:space="preserve">=</m:t>
          </m:r>
          <m:f>
            <m:num>
              <m:r>
                <w:rPr>
                  <w:rFonts w:ascii="Cambria Math" w:hAnsi="Cambria Math"/>
                </w:rPr>
                <m:t xml:space="preserve">U</m:t>
              </m:r>
            </m:num>
            <m:den>
              <m:r>
                <w:rPr>
                  <w:rFonts w:ascii="Cambria Math" w:hAnsi="Cambria Math"/>
                </w:rPr>
                <m:t xml:space="preserve">I</m:t>
              </m:r>
            </m:den>
          </m:f>
        </m:oMath>
      </m:oMathPara>
    </w:p>
    <w:p>
      <w:pPr>
        <w:pStyle w:val="Normal"/>
        <w:rPr/>
      </w:pPr>
      <w:r>
        <w:rPr/>
        <w:t>Úpravou po vzájemném dosazení výše uvedených vztahů obdržíme vztah pro kapacitu měřenou nepřímo Ohmovou metodou:</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6</w:t>
      </w:r>
      <w:r>
        <w:rPr/>
        <w:fldChar w:fldCharType="end"/>
      </w:r>
    </w:p>
    <w:p>
      <w:pPr>
        <w:pStyle w:val="Normal"/>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I</m:t>
              </m:r>
            </m:num>
            <m:den>
              <m:r>
                <w:rPr>
                  <w:rFonts w:ascii="Cambria Math" w:hAnsi="Cambria Math"/>
                </w:rPr>
                <m:t xml:space="preserve">2</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U</m:t>
              </m:r>
            </m:den>
          </m:f>
          <m:r>
            <w:rPr>
              <w:rFonts w:ascii="Cambria Math" w:hAnsi="Cambria Math"/>
            </w:rPr>
            <m:t xml:space="preserve">;</m:t>
          </m:r>
          <m:d>
            <m:dPr>
              <m:begChr m:val="("/>
              <m:endChr m:val=")"/>
            </m:dPr>
            <m:e>
              <m:r>
                <w:rPr>
                  <w:rFonts w:ascii="Cambria Math" w:hAnsi="Cambria Math"/>
                </w:rPr>
                <m:t xml:space="preserve">F</m:t>
              </m:r>
            </m:e>
          </m:d>
        </m:oMath>
      </m:oMathPara>
    </w:p>
    <w:p>
      <w:pPr>
        <w:pStyle w:val="Normal"/>
        <w:rPr/>
      </w:pPr>
      <w:r>
        <w:rPr/>
        <w:t>Měření kapacity je zatíženo chybou všech použitých měřicích přístrojů, dále chybou metody způsobenou spotřebou těchto přístrojů, chybou odečtu (zaokrouhlování) z displeje nebo stupnice. Výsledná chyba je dána součtem:</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7</w:t>
      </w:r>
      <w:r>
        <w:rPr/>
        <w:fldChar w:fldCharType="end"/>
      </w:r>
    </w:p>
    <w:p>
      <w:pPr>
        <w:pStyle w:val="Normal"/>
        <w:jc w:val="center"/>
        <w:rPr/>
      </w:pPr>
      <w:r>
        <w:rPr/>
      </w:r>
      <m:oMath xmlns:m="http://schemas.openxmlformats.org/officeDocument/2006/math">
        <m:d>
          <m:dPr>
            <m:begChr m:val="|"/>
            <m:endChr m:val="|"/>
          </m:dPr>
          <m:e>
            <m:sSub>
              <m:e>
                <m:r>
                  <w:rPr>
                    <w:rFonts w:ascii="Cambria Math" w:hAnsi="Cambria Math"/>
                  </w:rPr>
                  <m:t xml:space="preserve">δ</m:t>
                </m:r>
              </m:e>
              <m:sub>
                <m:r>
                  <w:rPr>
                    <w:rFonts w:ascii="Cambria Math" w:hAnsi="Cambria Math"/>
                  </w:rPr>
                  <m:t xml:space="preserve">C</m:t>
                </m:r>
              </m:sub>
            </m:sSub>
          </m:e>
        </m:d>
        <m:r>
          <w:rPr>
            <w:rFonts w:ascii="Cambria Math" w:hAnsi="Cambria Math"/>
          </w:rPr>
          <m:t xml:space="preserve">=</m:t>
        </m:r>
        <m:d>
          <m:dPr>
            <m:begChr m:val="|"/>
            <m:endChr m:val="|"/>
          </m:dPr>
          <m:e>
            <m:sSub>
              <m:e>
                <m:r>
                  <w:rPr>
                    <w:rFonts w:ascii="Cambria Math" w:hAnsi="Cambria Math"/>
                  </w:rPr>
                  <m:t xml:space="preserve">δ</m:t>
                </m:r>
              </m:e>
              <m:sub>
                <m:r>
                  <m:rPr>
                    <m:lit/>
                    <m:nor/>
                  </m:rPr>
                  <w:rPr>
                    <w:rFonts w:ascii="Cambria Math" w:hAnsi="Cambria Math"/>
                  </w:rPr>
                  <m:t xml:space="preserve">MP</m:t>
                </m:r>
                <m:r>
                  <w:rPr>
                    <w:rFonts w:ascii="Cambria Math" w:hAnsi="Cambria Math"/>
                  </w:rPr>
                  <m:t xml:space="preserve">1</m:t>
                </m:r>
              </m:sub>
            </m:sSub>
          </m:e>
        </m:d>
        <m:r>
          <w:rPr>
            <w:rFonts w:ascii="Cambria Math" w:hAnsi="Cambria Math"/>
          </w:rPr>
          <m:t xml:space="preserve">+</m:t>
        </m:r>
        <m:d>
          <m:dPr>
            <m:begChr m:val="|"/>
            <m:endChr m:val="|"/>
          </m:dPr>
          <m:e>
            <m:sSub>
              <m:e>
                <m:r>
                  <w:rPr>
                    <w:rFonts w:ascii="Cambria Math" w:hAnsi="Cambria Math"/>
                  </w:rPr>
                  <m:t xml:space="preserve">δ</m:t>
                </m:r>
              </m:e>
              <m:sub>
                <m:r>
                  <m:rPr>
                    <m:lit/>
                    <m:nor/>
                  </m:rPr>
                  <w:rPr>
                    <w:rFonts w:ascii="Cambria Math" w:hAnsi="Cambria Math"/>
                  </w:rPr>
                  <m:t xml:space="preserve">MP</m:t>
                </m:r>
                <m:r>
                  <w:rPr>
                    <w:rFonts w:ascii="Cambria Math" w:hAnsi="Cambria Math"/>
                  </w:rPr>
                  <m:t xml:space="preserve">2</m:t>
                </m:r>
              </m:sub>
            </m:sSub>
          </m:e>
        </m:d>
        <m:r>
          <w:rPr>
            <w:rFonts w:ascii="Cambria Math" w:hAnsi="Cambria Math"/>
          </w:rPr>
          <m:t xml:space="preserve">+</m:t>
        </m:r>
        <m:d>
          <m:dPr>
            <m:begChr m:val="|"/>
            <m:endChr m:val="|"/>
          </m:dPr>
          <m:e>
            <m:sSub>
              <m:e>
                <m:r>
                  <w:rPr>
                    <w:rFonts w:ascii="Cambria Math" w:hAnsi="Cambria Math"/>
                  </w:rPr>
                  <m:t xml:space="preserve">δ</m:t>
                </m:r>
              </m:e>
              <m:sub>
                <m:r>
                  <m:rPr>
                    <m:lit/>
                    <m:nor/>
                  </m:rPr>
                  <w:rPr>
                    <w:rFonts w:ascii="Cambria Math" w:hAnsi="Cambria Math"/>
                  </w:rPr>
                  <m:t xml:space="preserve">MET</m:t>
                </m:r>
              </m:sub>
            </m:sSub>
          </m:e>
        </m:d>
        <m:r>
          <w:rPr>
            <w:rFonts w:ascii="Cambria Math" w:hAnsi="Cambria Math"/>
          </w:rPr>
          <m:t xml:space="preserve">+</m:t>
        </m:r>
        <m:d>
          <m:dPr>
            <m:begChr m:val="|"/>
            <m:endChr m:val="|"/>
          </m:dPr>
          <m:e>
            <m:sSub>
              <m:e>
                <m:r>
                  <w:rPr>
                    <w:rFonts w:ascii="Cambria Math" w:hAnsi="Cambria Math"/>
                  </w:rPr>
                  <m:t xml:space="preserve">δ</m:t>
                </m:r>
              </m:e>
              <m:sub>
                <m:r>
                  <w:rPr>
                    <w:rFonts w:ascii="Cambria Math" w:hAnsi="Cambria Math"/>
                  </w:rPr>
                  <m:t xml:space="preserve">G</m:t>
                </m:r>
              </m:sub>
            </m:sSub>
          </m:e>
        </m:d>
      </m:oMath>
      <w:r>
        <w:rPr>
          <w:bCs/>
          <w:position w:val="-16"/>
        </w:rPr>
        <w:t>,</w:t>
      </w:r>
    </w:p>
    <w:p>
      <w:pPr>
        <w:pStyle w:val="Normal"/>
        <w:rPr/>
      </w:pPr>
      <w:r>
        <w:rPr/>
        <w:t xml:space="preserve">kde </w:t>
      </w:r>
      <w:r>
        <w:rPr>
          <w:rFonts w:ascii="Symbol" w:hAnsi="Symbol"/>
        </w:rPr>
        <w:t></w:t>
      </w:r>
      <w:r>
        <w:rPr>
          <w:vertAlign w:val="subscript"/>
        </w:rPr>
        <w:t>MP1</w:t>
      </w:r>
      <w:r>
        <w:rPr/>
        <w:t xml:space="preserve"> je relativní chyba měřicího přístroje vypočtená za pomoci informací ze stupnice nebo manuálu měřicího přístroje, </w:t>
      </w:r>
      <w:r>
        <w:rPr>
          <w:rFonts w:ascii="Symbol" w:hAnsi="Symbol"/>
        </w:rPr>
        <w:t></w:t>
      </w:r>
      <w:r>
        <w:rPr>
          <w:vertAlign w:val="subscript"/>
        </w:rPr>
        <w:t>MET</w:t>
      </w:r>
      <w:r>
        <w:rPr/>
        <w:t xml:space="preserve"> je chyba metody a </w:t>
      </w:r>
      <w:r>
        <w:rPr>
          <w:rFonts w:ascii="Symbol" w:hAnsi="Symbol"/>
        </w:rPr>
        <w:t></w:t>
      </w:r>
      <w:r>
        <w:rPr>
          <w:vertAlign w:val="subscript"/>
        </w:rPr>
        <w:t>G</w:t>
      </w:r>
      <w:r>
        <w:rPr/>
        <w:t xml:space="preserve"> je relativní chyba generátoru (rozlišení vztažené k nastavenému kmitočtu).</w:t>
      </w:r>
    </w:p>
    <w:p>
      <w:pPr>
        <w:pStyle w:val="Normal"/>
        <w:rPr/>
      </w:pPr>
      <w:r>
        <w:rPr/>
      </w:r>
    </w:p>
    <w:p>
      <w:pPr>
        <w:pStyle w:val="Normal"/>
        <w:rPr/>
      </w:pPr>
      <w:r>
        <w:rPr/>
        <w:t>Absolutní chybu pak lze spočítat podle vztahu:</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8</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Δ</m:t>
              </m:r>
            </m:e>
            <m:sub>
              <m:r>
                <w:rPr>
                  <w:rFonts w:ascii="Cambria Math" w:hAnsi="Cambria Math"/>
                </w:rPr>
                <m:t xml:space="preserve">C</m:t>
              </m:r>
            </m:sub>
          </m:sSub>
          <m:r>
            <w:rPr>
              <w:rFonts w:ascii="Cambria Math" w:hAnsi="Cambria Math"/>
            </w:rPr>
            <m:t xml:space="preserve">=</m:t>
          </m:r>
          <m:f>
            <m:num>
              <m:r>
                <w:rPr>
                  <w:rFonts w:ascii="Cambria Math" w:hAnsi="Cambria Math"/>
                </w:rPr>
                <m:t xml:space="preserve">δ</m:t>
              </m:r>
              <m:d>
                <m:dPr>
                  <m:begChr m:val="("/>
                  <m:endChr m:val=")"/>
                </m:dPr>
                <m:e>
                  <m:r>
                    <m:rPr>
                      <m:lit/>
                      <m:nor/>
                    </m:rPr>
                    <w:rPr>
                      <w:rFonts w:ascii="Cambria Math" w:hAnsi="Cambria Math"/>
                    </w:rPr>
                    <m:t xml:space="preserve">%</m:t>
                  </m:r>
                </m:e>
              </m:d>
            </m:num>
            <m:den>
              <m:r>
                <m:rPr>
                  <m:lit/>
                  <m:nor/>
                </m:rPr>
                <w:rPr>
                  <w:rFonts w:ascii="Cambria Math" w:hAnsi="Cambria Math"/>
                </w:rPr>
                <m:t xml:space="preserve">100</m:t>
              </m:r>
            </m:den>
          </m:f>
          <m:r>
            <w:rPr>
              <w:rFonts w:ascii="Cambria Math" w:hAnsi="Cambria Math"/>
            </w:rPr>
            <m:t xml:space="preserve">∗</m:t>
          </m:r>
          <m:sSub>
            <m:e>
              <m:r>
                <w:rPr>
                  <w:rFonts w:ascii="Cambria Math" w:hAnsi="Cambria Math"/>
                </w:rPr>
                <m:t xml:space="preserve">C</m:t>
              </m:r>
            </m:e>
            <m:sub>
              <m:r>
                <w:rPr>
                  <w:rFonts w:ascii="Cambria Math" w:hAnsi="Cambria Math"/>
                </w:rPr>
                <m:t xml:space="preserve">X</m:t>
              </m:r>
            </m:sub>
          </m:sSub>
        </m:oMath>
      </m:oMathPara>
    </w:p>
    <w:p>
      <w:pPr>
        <w:pStyle w:val="Normal"/>
        <w:rPr/>
      </w:pPr>
      <w:r>
        <w:rPr/>
      </w:r>
    </w:p>
    <w:p>
      <w:pPr>
        <w:pStyle w:val="Heading2"/>
        <w:rPr/>
      </w:pPr>
      <w:r>
        <w:rPr/>
        <w:t>Schéma zapojení</w:t>
      </w:r>
    </w:p>
    <w:p>
      <w:pPr>
        <w:pStyle w:val="Normal"/>
        <w:keepNext w:val="true"/>
        <w:jc w:val="center"/>
        <w:rPr/>
      </w:pPr>
      <w:r>
        <w:rPr/>
        <w:drawing>
          <wp:inline distT="0" distB="0" distL="0" distR="0">
            <wp:extent cx="4000500" cy="1685925"/>
            <wp:effectExtent l="0" t="0" r="0" b="0"/>
            <wp:docPr id="1" name="obrázek 9" descr="suroviny3\01_C\01_C_Ohm_metodo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9" descr="suroviny3\01_C\01_C_Ohm_metodou.bmp"/>
                    <pic:cNvPicPr>
                      <a:picLocks noChangeAspect="1" noChangeArrowheads="1"/>
                    </pic:cNvPicPr>
                  </pic:nvPicPr>
                  <pic:blipFill>
                    <a:blip r:embed="rId2"/>
                    <a:stretch>
                      <a:fillRect/>
                    </a:stretch>
                  </pic:blipFill>
                  <pic:spPr bwMode="auto">
                    <a:xfrm>
                      <a:off x="0" y="0"/>
                      <a:ext cx="4000500" cy="16859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w:t>
      </w:r>
      <w:r>
        <w:rPr/>
        <w:fldChar w:fldCharType="end"/>
      </w:r>
      <w:r>
        <w:rPr/>
        <w:t>: Měření kapacity Ohmovou metodou</w:t>
      </w:r>
    </w:p>
    <w:p>
      <w:pPr>
        <w:pStyle w:val="Normal"/>
        <w:rPr/>
      </w:pPr>
      <w:r>
        <w:rPr/>
      </w:r>
    </w:p>
    <w:p>
      <w:pPr>
        <w:pStyle w:val="Heading2"/>
        <w:rPr/>
      </w:pPr>
      <w:r>
        <w:rPr/>
        <w:t>Postup měření</w:t>
      </w:r>
    </w:p>
    <w:p>
      <w:pPr>
        <w:pStyle w:val="ListParagraph"/>
        <w:numPr>
          <w:ilvl w:val="0"/>
          <w:numId w:val="2"/>
        </w:numPr>
        <w:rPr/>
      </w:pPr>
      <w:r>
        <w:rPr/>
        <w:t>Měříme kapacitu jednotlivých kondenzátorů i jejich kombinací LCR můstkem. Změřené hodnoty zapíšeme do tabulky.</w:t>
      </w:r>
    </w:p>
    <w:p>
      <w:pPr>
        <w:pStyle w:val="ListParagraph"/>
        <w:numPr>
          <w:ilvl w:val="0"/>
          <w:numId w:val="2"/>
        </w:numPr>
        <w:rPr/>
      </w:pPr>
      <w:r>
        <w:rPr/>
        <w:t>Kapacitu jednotlivých kondenzátorů i jejich kombinací měříme Ohmovou metodou; hodnoty napětí, proudu a kmitočtu zapíšeme, hodnotu kapacity, absolutní a relativní chybu měření vypočteme.</w:t>
      </w:r>
    </w:p>
    <w:p>
      <w:pPr>
        <w:pStyle w:val="ListParagraph"/>
        <w:numPr>
          <w:ilvl w:val="0"/>
          <w:numId w:val="2"/>
        </w:numPr>
        <w:rPr/>
      </w:pPr>
      <w:r>
        <w:rPr/>
        <w:t>Kondenzátor C</w:t>
      </w:r>
      <w:r>
        <w:rPr>
          <w:vertAlign w:val="subscript"/>
        </w:rPr>
        <w:t>1</w:t>
      </w:r>
      <w:r>
        <w:rPr/>
        <w:t xml:space="preserve"> zapojíme do schématu, na generátoru nastavíme kmitočet 100 Hz (tuto hodnotu po celou dobu měření udržujeme), nastavujeme napětí dle tabulky, měříme a zapisujeme hodnoty proudu. Vypočteme hodnoty reaktance v závislosti na napětí. Závislost proudu na napětí zpracujeme graficky.</w:t>
      </w:r>
    </w:p>
    <w:p>
      <w:pPr>
        <w:pStyle w:val="ListParagraph"/>
        <w:numPr>
          <w:ilvl w:val="0"/>
          <w:numId w:val="2"/>
        </w:numPr>
        <w:rPr/>
      </w:pPr>
      <w:r>
        <w:rPr/>
        <w:t>Vybereme kondenzátor s největší hodnotou kapacity a zapojíme jej do schématu. Nastavíme takovou amplitudu, aby voltmetr ukazující napětí na kondenzátoru ukazoval 4V (tuto hodnotu po celou dobu měření udržujeme, stabilitu amplitudy lze kontrolovat také pomocí osciloskopu), nastavujeme kmitočty dle tabulky, zapisujeme hodnoty proudu. Vypočteme hodnoty reaktance, závislost reaktance na kmitočtu pak zpracujeme graficky.</w:t>
      </w:r>
    </w:p>
    <w:p>
      <w:pPr>
        <w:pStyle w:val="Normal"/>
        <w:rPr/>
      </w:pPr>
      <w:r>
        <w:rPr/>
      </w:r>
    </w:p>
    <w:p>
      <w:pPr>
        <w:pStyle w:val="Heading2"/>
        <w:rPr/>
      </w:pPr>
      <w:r>
        <w:rPr/>
        <w:t>Otázky</w:t>
      </w:r>
    </w:p>
    <w:p>
      <w:pPr>
        <w:pStyle w:val="ListParagraph"/>
        <w:numPr>
          <w:ilvl w:val="0"/>
          <w:numId w:val="3"/>
        </w:numPr>
        <w:rPr/>
      </w:pPr>
      <w:r>
        <w:rPr/>
        <w:t>Popište příčiny a následky tzv. „stárnutí“ dielektrik.</w:t>
      </w:r>
    </w:p>
    <w:p>
      <w:pPr>
        <w:pStyle w:val="ListParagraph"/>
        <w:numPr>
          <w:ilvl w:val="0"/>
          <w:numId w:val="3"/>
        </w:numPr>
        <w:rPr/>
      </w:pPr>
      <w:r>
        <w:rPr/>
        <w:t>Popište rozdíl (z hlediska sledovaných vlastností materiálů) mezi použitím materiálu jako dielektrika a jako izolace.</w:t>
      </w:r>
    </w:p>
    <w:p>
      <w:pPr>
        <w:pStyle w:val="ListParagraph"/>
        <w:numPr>
          <w:ilvl w:val="0"/>
          <w:numId w:val="3"/>
        </w:numPr>
        <w:rPr/>
      </w:pPr>
      <w:r>
        <w:rPr/>
        <w:t>Popište vliv elektrického pole na dielektrický materiál.</w:t>
      </w:r>
    </w:p>
    <w:p>
      <w:pPr>
        <w:pStyle w:val="ListParagraph"/>
        <w:numPr>
          <w:ilvl w:val="0"/>
          <w:numId w:val="3"/>
        </w:numPr>
        <w:rPr/>
      </w:pPr>
      <w:r>
        <w:rPr/>
        <w:t>Na čem závisí linearita závislosti proudu kondenzátorem v závislosti na napětí?</w:t>
      </w:r>
    </w:p>
    <w:p>
      <w:pPr>
        <w:pStyle w:val="ListParagraph"/>
        <w:numPr>
          <w:ilvl w:val="0"/>
          <w:numId w:val="3"/>
        </w:numPr>
        <w:rPr/>
      </w:pPr>
      <w:r>
        <w:rPr/>
        <w:t>Popište základní rozdělení kondenzátorů a jejich použití.</w:t>
      </w:r>
    </w:p>
    <w:p>
      <w:pPr>
        <w:pStyle w:val="ListParagraph"/>
        <w:numPr>
          <w:ilvl w:val="0"/>
          <w:numId w:val="3"/>
        </w:numPr>
        <w:rPr/>
      </w:pPr>
      <w:r>
        <w:rPr/>
        <w:t>Popište princip změny kapacity u tzv. kapacitní diody. Kde se používá?</w:t>
      </w:r>
    </w:p>
    <w:p>
      <w:pPr>
        <w:pStyle w:val="ListParagraph"/>
        <w:numPr>
          <w:ilvl w:val="0"/>
          <w:numId w:val="3"/>
        </w:numPr>
        <w:rPr/>
      </w:pPr>
      <w:r>
        <w:rPr/>
        <w:t>Vysvětlete odchylky vypočtených a naměřených charakteristik v grafech.</w:t>
      </w:r>
    </w:p>
    <w:p>
      <w:pPr>
        <w:pStyle w:val="ListParagraph"/>
        <w:numPr>
          <w:ilvl w:val="0"/>
          <w:numId w:val="3"/>
        </w:numPr>
        <w:rPr/>
      </w:pPr>
      <w:r>
        <w:rPr/>
        <w:t>Popište konstrukci elektrolytických kondenzátorů, výhody a nevýhody jejich použití.</w:t>
      </w:r>
    </w:p>
    <w:p>
      <w:pPr>
        <w:pStyle w:val="ListParagraph"/>
        <w:numPr>
          <w:ilvl w:val="0"/>
          <w:numId w:val="3"/>
        </w:numPr>
        <w:rPr/>
      </w:pPr>
      <w:r>
        <w:rPr/>
        <w:t>Popište elektrostatické ekvivalenty Kirchhoffových zákonů známých z proudového pole.</w:t>
      </w:r>
    </w:p>
    <w:p>
      <w:pPr>
        <w:pStyle w:val="ListParagraph"/>
        <w:numPr>
          <w:ilvl w:val="0"/>
          <w:numId w:val="3"/>
        </w:numPr>
        <w:rPr/>
      </w:pPr>
      <w:r>
        <w:rPr/>
        <w:t>Definujte pojem „elektrická pevnost“, popište fyzikální jevy provázející její překročení.</w:t>
      </w:r>
    </w:p>
    <w:p>
      <w:pPr>
        <w:pStyle w:val="ListParagraph"/>
        <w:numPr>
          <w:ilvl w:val="0"/>
          <w:numId w:val="3"/>
        </w:numPr>
        <w:rPr/>
      </w:pPr>
      <w:r>
        <w:rPr/>
        <w:t>Popište konstrukční provedení kondenzátorů pro vysokofrekvenční zařízení.</w:t>
      </w:r>
    </w:p>
    <w:p>
      <w:pPr>
        <w:pStyle w:val="Heading2"/>
        <w:rPr/>
      </w:pPr>
      <w:r>
        <w:rPr/>
        <w:t>Tabulky naměřených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1</w:t>
      </w:r>
      <w:r>
        <w:rPr/>
        <w:fldChar w:fldCharType="end"/>
      </w:r>
      <w:r>
        <w:rPr/>
        <w:t>: Měření LCR můstkem (C</w:t>
      </w:r>
      <w:r>
        <w:rPr>
          <w:vertAlign w:val="subscript"/>
        </w:rPr>
        <w:t>LCR</w:t>
      </w:r>
      <w:r>
        <w:rPr/>
        <w:t xml:space="preserve"> je kapacita změřená LCR můstkem, případně multimetrem, nebo jmenovitá hodnota)</w:t>
      </w:r>
    </w:p>
    <w:tbl>
      <w:tblPr>
        <w:tblW w:w="3075"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535"/>
        <w:gridCol w:w="1539"/>
      </w:tblGrid>
      <w:tr>
        <w:trPr>
          <w:tblHeader w:val="true"/>
          <w:trHeight w:val="328" w:hRule="atLeast"/>
          <w:cantSplit w:val="true"/>
        </w:trPr>
        <w:tc>
          <w:tcPr>
            <w:tcW w:w="1535"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b/>
                <w:i/>
                <w:i/>
              </w:rPr>
            </w:pPr>
            <w:r>
              <w:rPr>
                <w:b/>
                <w:i/>
              </w:rPr>
            </w:r>
          </w:p>
        </w:tc>
        <w:tc>
          <w:tcPr>
            <w:tcW w:w="1539"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rPr>
            </w:pPr>
            <w:r>
              <w:rPr>
                <w:b/>
              </w:rPr>
              <w:t>C</w:t>
            </w:r>
            <w:r>
              <w:rPr>
                <w:b/>
                <w:vertAlign w:val="subscript"/>
              </w:rPr>
              <w:t xml:space="preserve">LCR </w:t>
            </w:r>
            <w:r>
              <w:rPr>
                <w:b/>
              </w:rPr>
              <w:t>(F)</w:t>
            </w:r>
          </w:p>
        </w:tc>
      </w:tr>
      <w:tr>
        <w:trPr>
          <w:trHeight w:val="339" w:hRule="atLeast"/>
        </w:trPr>
        <w:tc>
          <w:tcPr>
            <w:tcW w:w="1535"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vertAlign w:val="subscript"/>
              </w:rPr>
            </w:pPr>
            <w:r>
              <w:rPr/>
              <w:t>C</w:t>
            </w:r>
            <w:r>
              <w:rPr>
                <w:vertAlign w:val="subscript"/>
              </w:rPr>
              <w:t>1</w:t>
            </w:r>
          </w:p>
        </w:tc>
        <w:tc>
          <w:tcPr>
            <w:tcW w:w="1539"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val="false"/>
                <w:bCs w:val="false"/>
              </w:rPr>
            </w:pPr>
            <w:r>
              <w:rPr>
                <w:b w:val="false"/>
                <w:bCs w:val="false"/>
              </w:rPr>
              <w:t xml:space="preserve">0,01 </w:t>
            </w:r>
            <w:r>
              <w:rPr>
                <w:rFonts w:eastAsia="Calibri" w:cs="" w:ascii="DejaVu Sans" w:hAnsi="DejaVu Sans"/>
                <w:b w:val="false"/>
                <w:bCs w:val="false"/>
              </w:rPr>
              <w:t>µ</w:t>
            </w:r>
          </w:p>
        </w:tc>
      </w:tr>
      <w:tr>
        <w:trPr>
          <w:trHeight w:val="350" w:hRule="atLeast"/>
        </w:trPr>
        <w:tc>
          <w:tcPr>
            <w:tcW w:w="1535"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vertAlign w:val="subscript"/>
              </w:rPr>
            </w:pPr>
            <w:r>
              <w:rPr/>
              <w:t>C</w:t>
            </w:r>
            <w:r>
              <w:rPr>
                <w:vertAlign w:val="subscript"/>
              </w:rPr>
              <w:t>2</w:t>
            </w:r>
          </w:p>
        </w:tc>
        <w:tc>
          <w:tcPr>
            <w:tcW w:w="1539"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val="false"/>
                <w:bCs w:val="false"/>
              </w:rPr>
            </w:pPr>
            <w:r>
              <w:rPr>
                <w:b w:val="false"/>
                <w:bCs w:val="false"/>
              </w:rPr>
              <w:t xml:space="preserve">0,10 </w:t>
            </w:r>
            <w:r>
              <w:rPr>
                <w:rFonts w:eastAsia="Calibri" w:cs="" w:ascii="DejaVu Sans" w:hAnsi="DejaVu Sans"/>
                <w:b w:val="false"/>
                <w:bCs w:val="false"/>
              </w:rPr>
              <w:t>µ</w:t>
            </w:r>
          </w:p>
        </w:tc>
      </w:tr>
      <w:tr>
        <w:trPr>
          <w:trHeight w:val="332" w:hRule="atLeast"/>
        </w:trPr>
        <w:tc>
          <w:tcPr>
            <w:tcW w:w="1535"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vertAlign w:val="subscript"/>
              </w:rPr>
            </w:pPr>
            <w:r>
              <w:rPr/>
              <w:t>C</w:t>
            </w:r>
            <w:r>
              <w:rPr>
                <w:vertAlign w:val="subscript"/>
              </w:rPr>
              <w:t>3</w:t>
            </w:r>
          </w:p>
        </w:tc>
        <w:tc>
          <w:tcPr>
            <w:tcW w:w="1539"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val="false"/>
                <w:bCs w:val="false"/>
              </w:rPr>
            </w:pPr>
            <w:r>
              <w:rPr>
                <w:b w:val="false"/>
                <w:bCs w:val="false"/>
              </w:rPr>
              <w:t>100 p</w:t>
            </w:r>
          </w:p>
        </w:tc>
      </w:tr>
      <w:tr>
        <w:trPr>
          <w:trHeight w:val="355" w:hRule="atLeast"/>
        </w:trPr>
        <w:tc>
          <w:tcPr>
            <w:tcW w:w="1535"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C</w:t>
            </w:r>
            <w:r>
              <w:rPr>
                <w:vertAlign w:val="subscript"/>
              </w:rPr>
              <w:t>1</w:t>
            </w:r>
            <w:r>
              <w:rPr/>
              <w:t>C</w:t>
            </w:r>
            <w:r>
              <w:rPr>
                <w:vertAlign w:val="subscript"/>
              </w:rPr>
              <w:t>2</w:t>
            </w:r>
            <w:r>
              <w:rPr/>
              <w:t xml:space="preserve"> C</w:t>
            </w:r>
            <w:r>
              <w:rPr>
                <w:vertAlign w:val="subscript"/>
              </w:rPr>
              <w:t>3</w:t>
            </w:r>
            <w:r>
              <w:rPr/>
              <w:t xml:space="preserve"> par.</w:t>
            </w:r>
          </w:p>
        </w:tc>
        <w:tc>
          <w:tcPr>
            <w:tcW w:w="1539"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val="false"/>
                <w:bCs w:val="false"/>
              </w:rPr>
            </w:pPr>
            <w:r>
              <w:rPr>
                <w:b w:val="false"/>
                <w:bCs w:val="false"/>
              </w:rPr>
              <w:t>1,163 * 10^(-7)</w:t>
            </w:r>
          </w:p>
        </w:tc>
      </w:tr>
      <w:tr>
        <w:trPr>
          <w:trHeight w:val="352" w:hRule="atLeast"/>
        </w:trPr>
        <w:tc>
          <w:tcPr>
            <w:tcW w:w="1535"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t>C</w:t>
            </w:r>
            <w:r>
              <w:rPr>
                <w:vertAlign w:val="subscript"/>
              </w:rPr>
              <w:t>1</w:t>
            </w:r>
            <w:r>
              <w:rPr/>
              <w:t>C</w:t>
            </w:r>
            <w:r>
              <w:rPr>
                <w:vertAlign w:val="subscript"/>
              </w:rPr>
              <w:t>2</w:t>
            </w:r>
            <w:r>
              <w:rPr/>
              <w:t xml:space="preserve"> C</w:t>
            </w:r>
            <w:r>
              <w:rPr>
                <w:vertAlign w:val="subscript"/>
              </w:rPr>
              <w:t xml:space="preserve">3 </w:t>
            </w:r>
            <w:r>
              <w:rPr/>
              <w:t>sér.</w:t>
            </w:r>
          </w:p>
        </w:tc>
        <w:tc>
          <w:tcPr>
            <w:tcW w:w="1539"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b w:val="false"/>
                <w:bCs w:val="false"/>
              </w:rPr>
            </w:pPr>
            <w:r>
              <w:rPr>
                <w:b w:val="false"/>
                <w:bCs w:val="false"/>
              </w:rPr>
              <w:t>9,402 n</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2</w:t>
      </w:r>
      <w:r>
        <w:rPr/>
        <w:fldChar w:fldCharType="end"/>
      </w:r>
      <w:r>
        <w:rPr/>
        <w:t>: Měření Ohmovou metodou (při kmitočtu 100 Hz)</w:t>
      </w:r>
    </w:p>
    <w:tbl>
      <w:tblPr>
        <w:tblW w:w="3813"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532"/>
        <w:gridCol w:w="1081"/>
        <w:gridCol w:w="1200"/>
      </w:tblGrid>
      <w:tr>
        <w:trPr>
          <w:tblHeader w:val="true"/>
          <w:trHeight w:val="328" w:hRule="atLeast"/>
          <w:cantSplit w:val="true"/>
        </w:trPr>
        <w:tc>
          <w:tcPr>
            <w:tcW w:w="1532"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b/>
                <w:i/>
                <w:i/>
              </w:rPr>
            </w:pPr>
            <w:r>
              <w:rPr>
                <w:b/>
                <w:i/>
              </w:rPr>
            </w:r>
          </w:p>
        </w:tc>
        <w:tc>
          <w:tcPr>
            <w:tcW w:w="1081"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b/>
              </w:rPr>
            </w:pPr>
            <w:r>
              <w:rPr>
                <w:b/>
              </w:rPr>
              <w:t>U</w:t>
            </w:r>
            <w:r>
              <w:rPr>
                <w:b/>
                <w:vertAlign w:val="subscript"/>
              </w:rPr>
              <w:t>C</w:t>
            </w:r>
            <w:r>
              <w:rPr>
                <w:b/>
              </w:rPr>
              <w:t xml:space="preserve"> (V)</w:t>
            </w:r>
          </w:p>
        </w:tc>
        <w:tc>
          <w:tcPr>
            <w:tcW w:w="1200"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rPr>
            </w:pPr>
            <w:r>
              <w:rPr>
                <w:b/>
              </w:rPr>
              <w:t>I</w:t>
            </w:r>
            <w:r>
              <w:rPr>
                <w:b/>
                <w:vertAlign w:val="subscript"/>
              </w:rPr>
              <w:t>C</w:t>
            </w:r>
            <w:r>
              <w:rPr>
                <w:b/>
              </w:rPr>
              <w:t xml:space="preserve"> (A)</w:t>
            </w:r>
          </w:p>
        </w:tc>
      </w:tr>
      <w:tr>
        <w:trPr>
          <w:trHeight w:val="339" w:hRule="atLeast"/>
          <w:cantSplit w:val="true"/>
        </w:trPr>
        <w:tc>
          <w:tcPr>
            <w:tcW w:w="1532"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vertAlign w:val="subscript"/>
              </w:rPr>
            </w:pPr>
            <w:r>
              <w:rPr/>
              <w:t>C</w:t>
            </w:r>
            <w:r>
              <w:rPr>
                <w:vertAlign w:val="subscript"/>
              </w:rPr>
              <w:t>1</w:t>
            </w:r>
          </w:p>
        </w:tc>
        <w:tc>
          <w:tcPr>
            <w:tcW w:w="108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b w:val="false"/>
                <w:bCs w:val="false"/>
              </w:rPr>
            </w:pPr>
            <w:r>
              <w:rPr>
                <w:b w:val="false"/>
                <w:bCs w:val="false"/>
              </w:rPr>
              <w:t>4,9</w:t>
            </w:r>
          </w:p>
        </w:tc>
        <w:tc>
          <w:tcPr>
            <w:tcW w:w="1200"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val="false"/>
                <w:bCs w:val="false"/>
              </w:rPr>
            </w:pPr>
            <w:r>
              <w:rPr>
                <w:b w:val="false"/>
                <w:bCs w:val="false"/>
              </w:rPr>
              <w:t>2</w:t>
            </w:r>
          </w:p>
        </w:tc>
      </w:tr>
      <w:tr>
        <w:trPr>
          <w:trHeight w:val="350" w:hRule="atLeast"/>
          <w:cantSplit w:val="true"/>
        </w:trPr>
        <w:tc>
          <w:tcPr>
            <w:tcW w:w="1532"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vertAlign w:val="subscript"/>
              </w:rPr>
            </w:pPr>
            <w:r>
              <w:rPr/>
              <w:t>C</w:t>
            </w:r>
            <w:r>
              <w:rPr>
                <w:vertAlign w:val="subscript"/>
              </w:rPr>
              <w:t>2</w:t>
            </w:r>
          </w:p>
        </w:tc>
        <w:tc>
          <w:tcPr>
            <w:tcW w:w="108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b w:val="false"/>
                <w:bCs w:val="false"/>
              </w:rPr>
            </w:pPr>
            <w:r>
              <w:rPr>
                <w:b w:val="false"/>
                <w:bCs w:val="false"/>
              </w:rPr>
              <w:t>4,9</w:t>
            </w:r>
          </w:p>
        </w:tc>
        <w:tc>
          <w:tcPr>
            <w:tcW w:w="1200"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val="false"/>
                <w:bCs w:val="false"/>
              </w:rPr>
            </w:pPr>
            <w:r>
              <w:rPr>
                <w:b w:val="false"/>
                <w:bCs w:val="false"/>
              </w:rPr>
              <w:t>32</w:t>
            </w:r>
          </w:p>
        </w:tc>
      </w:tr>
      <w:tr>
        <w:trPr>
          <w:trHeight w:val="332" w:hRule="atLeast"/>
          <w:cantSplit w:val="true"/>
        </w:trPr>
        <w:tc>
          <w:tcPr>
            <w:tcW w:w="1532"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vertAlign w:val="subscript"/>
              </w:rPr>
            </w:pPr>
            <w:r>
              <w:rPr/>
              <w:t>C</w:t>
            </w:r>
            <w:r>
              <w:rPr>
                <w:vertAlign w:val="subscript"/>
              </w:rPr>
              <w:t>3</w:t>
            </w:r>
          </w:p>
        </w:tc>
        <w:tc>
          <w:tcPr>
            <w:tcW w:w="2281" w:type="dxa"/>
            <w:gridSpan w:val="2"/>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val="false"/>
                <w:bCs w:val="false"/>
              </w:rPr>
            </w:pPr>
            <w:r>
              <w:rPr>
                <w:b w:val="false"/>
                <w:bCs w:val="false"/>
              </w:rPr>
              <w:t>Kapacitor nešlo změřit z důvodu malého proudu</w:t>
            </w:r>
          </w:p>
        </w:tc>
      </w:tr>
      <w:tr>
        <w:trPr>
          <w:trHeight w:val="355" w:hRule="atLeast"/>
          <w:cantSplit w:val="true"/>
        </w:trPr>
        <w:tc>
          <w:tcPr>
            <w:tcW w:w="1532"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C</w:t>
            </w:r>
            <w:r>
              <w:rPr>
                <w:vertAlign w:val="subscript"/>
              </w:rPr>
              <w:t>1</w:t>
            </w:r>
            <w:r>
              <w:rPr/>
              <w:t>C</w:t>
            </w:r>
            <w:r>
              <w:rPr>
                <w:vertAlign w:val="subscript"/>
              </w:rPr>
              <w:t>2</w:t>
            </w:r>
            <w:r>
              <w:rPr/>
              <w:t xml:space="preserve"> C</w:t>
            </w:r>
            <w:r>
              <w:rPr>
                <w:vertAlign w:val="subscript"/>
              </w:rPr>
              <w:t>3</w:t>
            </w:r>
            <w:r>
              <w:rPr/>
              <w:t xml:space="preserve"> par.</w:t>
            </w:r>
          </w:p>
        </w:tc>
        <w:tc>
          <w:tcPr>
            <w:tcW w:w="108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b w:val="false"/>
                <w:bCs w:val="false"/>
              </w:rPr>
            </w:pPr>
            <w:r>
              <w:rPr>
                <w:b w:val="false"/>
                <w:bCs w:val="false"/>
              </w:rPr>
              <w:t>4,9</w:t>
            </w:r>
          </w:p>
        </w:tc>
        <w:tc>
          <w:tcPr>
            <w:tcW w:w="1200"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val="false"/>
                <w:bCs w:val="false"/>
              </w:rPr>
            </w:pPr>
            <w:r>
              <w:rPr>
                <w:b w:val="false"/>
                <w:bCs w:val="false"/>
              </w:rPr>
              <w:t>2</w:t>
            </w:r>
          </w:p>
        </w:tc>
      </w:tr>
      <w:tr>
        <w:trPr>
          <w:trHeight w:val="352" w:hRule="atLeast"/>
          <w:cantSplit w:val="true"/>
        </w:trPr>
        <w:tc>
          <w:tcPr>
            <w:tcW w:w="1532"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t>C</w:t>
            </w:r>
            <w:r>
              <w:rPr>
                <w:vertAlign w:val="subscript"/>
              </w:rPr>
              <w:t>1</w:t>
            </w:r>
            <w:r>
              <w:rPr/>
              <w:t>C</w:t>
            </w:r>
            <w:r>
              <w:rPr>
                <w:vertAlign w:val="subscript"/>
              </w:rPr>
              <w:t>2</w:t>
            </w:r>
            <w:r>
              <w:rPr/>
              <w:t xml:space="preserve"> C</w:t>
            </w:r>
            <w:r>
              <w:rPr>
                <w:vertAlign w:val="subscript"/>
              </w:rPr>
              <w:t xml:space="preserve">3 </w:t>
            </w:r>
            <w:r>
              <w:rPr/>
              <w:t>sér.</w:t>
            </w:r>
          </w:p>
        </w:tc>
        <w:tc>
          <w:tcPr>
            <w:tcW w:w="1081"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b w:val="false"/>
                <w:bCs w:val="false"/>
              </w:rPr>
            </w:pPr>
            <w:r>
              <w:rPr>
                <w:b w:val="false"/>
                <w:bCs w:val="false"/>
              </w:rPr>
              <w:t>4,9</w:t>
            </w:r>
          </w:p>
        </w:tc>
        <w:tc>
          <w:tcPr>
            <w:tcW w:w="1200"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b w:val="false"/>
                <w:bCs w:val="false"/>
              </w:rPr>
            </w:pPr>
            <w:r>
              <w:rPr>
                <w:b w:val="false"/>
                <w:bCs w:val="false"/>
              </w:rPr>
              <w:t>35</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3</w:t>
      </w:r>
      <w:r>
        <w:rPr/>
        <w:fldChar w:fldCharType="end"/>
      </w:r>
      <w:r>
        <w:rPr/>
        <w:t>: Měření závislosti proudu na napětí</w:t>
      </w:r>
    </w:p>
    <w:tbl>
      <w:tblPr>
        <w:tblW w:w="10004"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883"/>
        <w:gridCol w:w="539"/>
        <w:gridCol w:w="578"/>
        <w:gridCol w:w="547"/>
        <w:gridCol w:w="579"/>
        <w:gridCol w:w="544"/>
        <w:gridCol w:w="575"/>
        <w:gridCol w:w="544"/>
        <w:gridCol w:w="583"/>
        <w:gridCol w:w="579"/>
        <w:gridCol w:w="575"/>
        <w:gridCol w:w="579"/>
        <w:gridCol w:w="583"/>
        <w:gridCol w:w="579"/>
        <w:gridCol w:w="575"/>
        <w:gridCol w:w="579"/>
        <w:gridCol w:w="583"/>
      </w:tblGrid>
      <w:tr>
        <w:trPr/>
        <w:tc>
          <w:tcPr>
            <w:tcW w:w="883" w:type="dxa"/>
            <w:tcBorders>
              <w:top w:val="single" w:sz="12" w:space="0" w:color="000000"/>
              <w:left w:val="single" w:sz="12" w:space="0" w:color="000000"/>
              <w:bottom w:val="single" w:sz="4" w:space="0" w:color="000000"/>
              <w:right w:val="single" w:sz="4" w:space="0" w:color="000000"/>
            </w:tcBorders>
          </w:tcPr>
          <w:p>
            <w:pPr>
              <w:pStyle w:val="Normal"/>
              <w:spacing w:lineRule="auto" w:line="240" w:before="0" w:after="0"/>
              <w:jc w:val="center"/>
              <w:rPr/>
            </w:pPr>
            <w:r>
              <w:rPr>
                <w:b/>
                <w:bCs/>
              </w:rPr>
              <w:t>U (V)</w:t>
            </w:r>
          </w:p>
        </w:tc>
        <w:tc>
          <w:tcPr>
            <w:tcW w:w="53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0</w:t>
            </w:r>
          </w:p>
        </w:tc>
        <w:tc>
          <w:tcPr>
            <w:tcW w:w="578"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0,5</w:t>
            </w:r>
          </w:p>
        </w:tc>
        <w:tc>
          <w:tcPr>
            <w:tcW w:w="547"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1</w:t>
            </w:r>
          </w:p>
        </w:tc>
        <w:tc>
          <w:tcPr>
            <w:tcW w:w="57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1,5</w:t>
            </w:r>
          </w:p>
        </w:tc>
        <w:tc>
          <w:tcPr>
            <w:tcW w:w="544"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2</w:t>
            </w:r>
          </w:p>
        </w:tc>
        <w:tc>
          <w:tcPr>
            <w:tcW w:w="575"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2,5</w:t>
            </w:r>
          </w:p>
        </w:tc>
        <w:tc>
          <w:tcPr>
            <w:tcW w:w="544"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3</w:t>
            </w:r>
          </w:p>
        </w:tc>
        <w:tc>
          <w:tcPr>
            <w:tcW w:w="583"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3,5</w:t>
            </w:r>
          </w:p>
        </w:tc>
        <w:tc>
          <w:tcPr>
            <w:tcW w:w="57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4</w:t>
            </w:r>
          </w:p>
        </w:tc>
        <w:tc>
          <w:tcPr>
            <w:tcW w:w="575"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4,5</w:t>
            </w:r>
          </w:p>
        </w:tc>
        <w:tc>
          <w:tcPr>
            <w:tcW w:w="57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5</w:t>
            </w:r>
          </w:p>
        </w:tc>
        <w:tc>
          <w:tcPr>
            <w:tcW w:w="583"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5,5</w:t>
            </w:r>
          </w:p>
        </w:tc>
        <w:tc>
          <w:tcPr>
            <w:tcW w:w="57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6</w:t>
            </w:r>
          </w:p>
        </w:tc>
        <w:tc>
          <w:tcPr>
            <w:tcW w:w="575"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6,5</w:t>
            </w:r>
          </w:p>
        </w:tc>
        <w:tc>
          <w:tcPr>
            <w:tcW w:w="57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7</w:t>
            </w:r>
          </w:p>
        </w:tc>
        <w:tc>
          <w:tcPr>
            <w:tcW w:w="583" w:type="dxa"/>
            <w:tcBorders>
              <w:top w:val="single" w:sz="12" w:space="0" w:color="000000"/>
              <w:left w:val="single" w:sz="4" w:space="0" w:color="000000"/>
              <w:bottom w:val="single" w:sz="4" w:space="0" w:color="000000"/>
              <w:right w:val="single" w:sz="12" w:space="0" w:color="000000"/>
            </w:tcBorders>
          </w:tcPr>
          <w:p>
            <w:pPr>
              <w:pStyle w:val="Normal"/>
              <w:spacing w:lineRule="auto" w:line="240" w:before="0" w:after="0"/>
              <w:jc w:val="center"/>
              <w:rPr/>
            </w:pPr>
            <w:r>
              <w:rPr/>
              <w:t>7,5</w:t>
            </w:r>
          </w:p>
        </w:tc>
      </w:tr>
      <w:tr>
        <w:trPr/>
        <w:tc>
          <w:tcPr>
            <w:tcW w:w="883" w:type="dxa"/>
            <w:tcBorders>
              <w:top w:val="single" w:sz="4" w:space="0" w:color="000000"/>
              <w:left w:val="single" w:sz="12" w:space="0" w:color="000000"/>
              <w:bottom w:val="single" w:sz="12" w:space="0" w:color="000000"/>
              <w:right w:val="single" w:sz="4" w:space="0" w:color="000000"/>
            </w:tcBorders>
          </w:tcPr>
          <w:p>
            <w:pPr>
              <w:pStyle w:val="Normal"/>
              <w:spacing w:lineRule="auto" w:line="240" w:before="0" w:after="0"/>
              <w:jc w:val="center"/>
              <w:rPr/>
            </w:pPr>
            <w:r>
              <w:rPr>
                <w:b/>
              </w:rPr>
              <w:t>I</w:t>
            </w:r>
            <w:r>
              <w:rPr>
                <w:b/>
                <w:vertAlign w:val="subscript"/>
              </w:rPr>
              <w:t>C</w:t>
            </w:r>
            <w:r>
              <w:rPr>
                <w:b/>
              </w:rPr>
              <w:t xml:space="preserve"> (A)</w:t>
            </w:r>
          </w:p>
        </w:tc>
        <w:tc>
          <w:tcPr>
            <w:tcW w:w="53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0</w:t>
            </w:r>
          </w:p>
        </w:tc>
        <w:tc>
          <w:tcPr>
            <w:tcW w:w="578"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0,02</w:t>
            </w:r>
          </w:p>
        </w:tc>
        <w:tc>
          <w:tcPr>
            <w:tcW w:w="547"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0,06</w:t>
            </w:r>
          </w:p>
        </w:tc>
        <w:tc>
          <w:tcPr>
            <w:tcW w:w="57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0,09</w:t>
            </w:r>
          </w:p>
        </w:tc>
        <w:tc>
          <w:tcPr>
            <w:tcW w:w="544"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0,12</w:t>
            </w:r>
          </w:p>
        </w:tc>
        <w:tc>
          <w:tcPr>
            <w:tcW w:w="575"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0,16</w:t>
            </w:r>
          </w:p>
        </w:tc>
        <w:tc>
          <w:tcPr>
            <w:tcW w:w="544"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0,19</w:t>
            </w:r>
          </w:p>
        </w:tc>
        <w:tc>
          <w:tcPr>
            <w:tcW w:w="583"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0,22</w:t>
            </w:r>
          </w:p>
        </w:tc>
        <w:tc>
          <w:tcPr>
            <w:tcW w:w="57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0,25</w:t>
            </w:r>
          </w:p>
        </w:tc>
        <w:tc>
          <w:tcPr>
            <w:tcW w:w="575"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0,29</w:t>
            </w:r>
          </w:p>
        </w:tc>
        <w:tc>
          <w:tcPr>
            <w:tcW w:w="57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0,32</w:t>
            </w:r>
          </w:p>
        </w:tc>
        <w:tc>
          <w:tcPr>
            <w:tcW w:w="583"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0,35</w:t>
            </w:r>
          </w:p>
        </w:tc>
        <w:tc>
          <w:tcPr>
            <w:tcW w:w="57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0,38</w:t>
            </w:r>
          </w:p>
        </w:tc>
        <w:tc>
          <w:tcPr>
            <w:tcW w:w="575"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0,41</w:t>
            </w:r>
          </w:p>
        </w:tc>
        <w:tc>
          <w:tcPr>
            <w:tcW w:w="57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0,45</w:t>
            </w:r>
          </w:p>
        </w:tc>
        <w:tc>
          <w:tcPr>
            <w:tcW w:w="583" w:type="dxa"/>
            <w:tcBorders>
              <w:top w:val="single" w:sz="4" w:space="0" w:color="000000"/>
              <w:left w:val="single" w:sz="4" w:space="0" w:color="000000"/>
              <w:bottom w:val="single" w:sz="12" w:space="0" w:color="000000"/>
              <w:right w:val="single" w:sz="12" w:space="0" w:color="000000"/>
            </w:tcBorders>
          </w:tcPr>
          <w:p>
            <w:pPr>
              <w:pStyle w:val="Normal"/>
              <w:spacing w:lineRule="auto" w:line="240" w:before="0" w:after="0"/>
              <w:jc w:val="center"/>
              <w:rPr/>
            </w:pPr>
            <w:r>
              <w:rPr/>
              <w:t>0,48</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4</w:t>
      </w:r>
      <w:r>
        <w:rPr/>
        <w:fldChar w:fldCharType="end"/>
      </w:r>
      <w:r>
        <w:rPr/>
        <w:t>: Měření závislosti proudu na kmitočtu</w:t>
      </w:r>
    </w:p>
    <w:tbl>
      <w:tblPr>
        <w:tblW w:w="8535"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815"/>
        <w:gridCol w:w="542"/>
        <w:gridCol w:w="577"/>
        <w:gridCol w:w="546"/>
        <w:gridCol w:w="578"/>
        <w:gridCol w:w="542"/>
        <w:gridCol w:w="582"/>
        <w:gridCol w:w="542"/>
        <w:gridCol w:w="546"/>
        <w:gridCol w:w="544"/>
        <w:gridCol w:w="542"/>
        <w:gridCol w:w="547"/>
        <w:gridCol w:w="542"/>
        <w:gridCol w:w="546"/>
        <w:gridCol w:w="544"/>
      </w:tblGrid>
      <w:tr>
        <w:trPr/>
        <w:tc>
          <w:tcPr>
            <w:tcW w:w="815" w:type="dxa"/>
            <w:tcBorders>
              <w:top w:val="single" w:sz="12" w:space="0" w:color="000000"/>
              <w:left w:val="single" w:sz="12" w:space="0" w:color="000000"/>
              <w:bottom w:val="single" w:sz="4" w:space="0" w:color="000000"/>
              <w:right w:val="single" w:sz="4" w:space="0" w:color="000000"/>
            </w:tcBorders>
          </w:tcPr>
          <w:p>
            <w:pPr>
              <w:pStyle w:val="Normal"/>
              <w:spacing w:lineRule="auto" w:line="240" w:before="0" w:after="200"/>
              <w:jc w:val="center"/>
              <w:rPr/>
            </w:pPr>
            <w:r>
              <w:rPr>
                <w:b/>
                <w:bCs/>
              </w:rPr>
              <w:t>f (Hz)</w:t>
            </w:r>
          </w:p>
        </w:tc>
        <w:tc>
          <w:tcPr>
            <w:tcW w:w="542"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20</w:t>
            </w:r>
          </w:p>
        </w:tc>
        <w:tc>
          <w:tcPr>
            <w:tcW w:w="577"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30</w:t>
            </w:r>
          </w:p>
        </w:tc>
        <w:tc>
          <w:tcPr>
            <w:tcW w:w="546"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40</w:t>
            </w:r>
          </w:p>
        </w:tc>
        <w:tc>
          <w:tcPr>
            <w:tcW w:w="578"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50</w:t>
            </w:r>
          </w:p>
        </w:tc>
        <w:tc>
          <w:tcPr>
            <w:tcW w:w="542"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60</w:t>
            </w:r>
          </w:p>
        </w:tc>
        <w:tc>
          <w:tcPr>
            <w:tcW w:w="582"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70</w:t>
            </w:r>
          </w:p>
        </w:tc>
        <w:tc>
          <w:tcPr>
            <w:tcW w:w="542"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80</w:t>
            </w:r>
          </w:p>
        </w:tc>
        <w:tc>
          <w:tcPr>
            <w:tcW w:w="546"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90</w:t>
            </w:r>
          </w:p>
        </w:tc>
        <w:tc>
          <w:tcPr>
            <w:tcW w:w="544"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100</w:t>
            </w:r>
          </w:p>
        </w:tc>
        <w:tc>
          <w:tcPr>
            <w:tcW w:w="542"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110</w:t>
            </w:r>
          </w:p>
        </w:tc>
        <w:tc>
          <w:tcPr>
            <w:tcW w:w="547"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120</w:t>
            </w:r>
          </w:p>
        </w:tc>
        <w:tc>
          <w:tcPr>
            <w:tcW w:w="542"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130</w:t>
            </w:r>
          </w:p>
        </w:tc>
        <w:tc>
          <w:tcPr>
            <w:tcW w:w="546"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140</w:t>
            </w:r>
          </w:p>
        </w:tc>
        <w:tc>
          <w:tcPr>
            <w:tcW w:w="544" w:type="dxa"/>
            <w:tcBorders>
              <w:top w:val="single" w:sz="12" w:space="0" w:color="000000"/>
              <w:left w:val="single" w:sz="4" w:space="0" w:color="000000"/>
              <w:bottom w:val="single" w:sz="4" w:space="0" w:color="000000"/>
              <w:right w:val="single" w:sz="12" w:space="0" w:color="000000"/>
            </w:tcBorders>
          </w:tcPr>
          <w:p>
            <w:pPr>
              <w:pStyle w:val="Normal"/>
              <w:spacing w:lineRule="auto" w:line="240" w:before="0" w:after="200"/>
              <w:jc w:val="center"/>
              <w:rPr/>
            </w:pPr>
            <w:r>
              <w:rPr/>
              <w:t>150</w:t>
            </w:r>
          </w:p>
        </w:tc>
      </w:tr>
      <w:tr>
        <w:trPr/>
        <w:tc>
          <w:tcPr>
            <w:tcW w:w="815" w:type="dxa"/>
            <w:tcBorders>
              <w:top w:val="single" w:sz="4" w:space="0" w:color="000000"/>
              <w:left w:val="single" w:sz="12" w:space="0" w:color="000000"/>
              <w:bottom w:val="single" w:sz="4" w:space="0" w:color="000000"/>
              <w:right w:val="single" w:sz="4" w:space="0" w:color="000000"/>
            </w:tcBorders>
          </w:tcPr>
          <w:p>
            <w:pPr>
              <w:pStyle w:val="Normal"/>
              <w:spacing w:lineRule="auto" w:line="240" w:before="0" w:after="200"/>
              <w:jc w:val="center"/>
              <w:rPr>
                <w:b/>
                <w:bCs/>
              </w:rPr>
            </w:pPr>
            <w:r>
              <w:rPr>
                <w:b/>
              </w:rPr>
              <w:t>U</w:t>
            </w:r>
            <w:r>
              <w:rPr>
                <w:b/>
                <w:vertAlign w:val="subscript"/>
              </w:rPr>
              <w:t>C</w:t>
            </w:r>
            <w:r>
              <w:rPr>
                <w:b/>
              </w:rPr>
              <w:t xml:space="preserve"> (V)</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7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7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8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4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4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44" w:type="dxa"/>
            <w:tcBorders>
              <w:top w:val="single" w:sz="4" w:space="0" w:color="000000"/>
              <w:left w:val="single" w:sz="4" w:space="0" w:color="000000"/>
              <w:bottom w:val="single" w:sz="4" w:space="0" w:color="000000"/>
              <w:right w:val="single" w:sz="12" w:space="0" w:color="000000"/>
            </w:tcBorders>
          </w:tcPr>
          <w:p>
            <w:pPr>
              <w:pStyle w:val="Normal"/>
              <w:spacing w:lineRule="auto" w:line="240" w:before="0" w:after="200"/>
              <w:jc w:val="center"/>
              <w:rPr/>
            </w:pPr>
            <w:r>
              <w:rPr/>
              <w:t>4</w:t>
            </w:r>
          </w:p>
        </w:tc>
      </w:tr>
      <w:tr>
        <w:trPr/>
        <w:tc>
          <w:tcPr>
            <w:tcW w:w="815" w:type="dxa"/>
            <w:tcBorders>
              <w:top w:val="single" w:sz="4" w:space="0" w:color="000000"/>
              <w:left w:val="single" w:sz="12" w:space="0" w:color="000000"/>
              <w:bottom w:val="single" w:sz="12" w:space="0" w:color="000000"/>
              <w:right w:val="single" w:sz="4" w:space="0" w:color="000000"/>
            </w:tcBorders>
          </w:tcPr>
          <w:p>
            <w:pPr>
              <w:pStyle w:val="Normal"/>
              <w:spacing w:lineRule="auto" w:line="240" w:before="0" w:after="200"/>
              <w:jc w:val="center"/>
              <w:rPr/>
            </w:pPr>
            <w:r>
              <w:rPr>
                <w:b/>
              </w:rPr>
              <w:t>I</w:t>
            </w:r>
            <w:r>
              <w:rPr>
                <w:b/>
                <w:vertAlign w:val="subscript"/>
              </w:rPr>
              <w:t>C</w:t>
            </w:r>
            <w:r>
              <w:rPr>
                <w:b/>
              </w:rPr>
              <w:t xml:space="preserve"> (A)</w:t>
            </w:r>
          </w:p>
        </w:tc>
        <w:tc>
          <w:tcPr>
            <w:tcW w:w="542"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t>0</w:t>
            </w:r>
          </w:p>
        </w:tc>
        <w:tc>
          <w:tcPr>
            <w:tcW w:w="577"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t>0,01</w:t>
            </w:r>
          </w:p>
        </w:tc>
        <w:tc>
          <w:tcPr>
            <w:tcW w:w="546"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t>0,07</w:t>
            </w:r>
          </w:p>
        </w:tc>
        <w:tc>
          <w:tcPr>
            <w:tcW w:w="578"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t>0,11</w:t>
            </w:r>
          </w:p>
        </w:tc>
        <w:tc>
          <w:tcPr>
            <w:tcW w:w="542"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t>0,14</w:t>
            </w:r>
          </w:p>
        </w:tc>
        <w:tc>
          <w:tcPr>
            <w:tcW w:w="582"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t>0,17</w:t>
            </w:r>
          </w:p>
        </w:tc>
        <w:tc>
          <w:tcPr>
            <w:tcW w:w="542"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t>0,21</w:t>
            </w:r>
          </w:p>
        </w:tc>
        <w:tc>
          <w:tcPr>
            <w:tcW w:w="546"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t>0,24</w:t>
            </w:r>
          </w:p>
        </w:tc>
        <w:tc>
          <w:tcPr>
            <w:tcW w:w="544"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t>0,26</w:t>
            </w:r>
          </w:p>
        </w:tc>
        <w:tc>
          <w:tcPr>
            <w:tcW w:w="542"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t>0,28</w:t>
            </w:r>
          </w:p>
        </w:tc>
        <w:tc>
          <w:tcPr>
            <w:tcW w:w="547"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t>0,31</w:t>
            </w:r>
          </w:p>
        </w:tc>
        <w:tc>
          <w:tcPr>
            <w:tcW w:w="542"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t>0,33</w:t>
            </w:r>
          </w:p>
        </w:tc>
        <w:tc>
          <w:tcPr>
            <w:tcW w:w="546"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t>0,36</w:t>
            </w:r>
          </w:p>
        </w:tc>
        <w:tc>
          <w:tcPr>
            <w:tcW w:w="544" w:type="dxa"/>
            <w:tcBorders>
              <w:top w:val="single" w:sz="4" w:space="0" w:color="000000"/>
              <w:left w:val="single" w:sz="4" w:space="0" w:color="000000"/>
              <w:bottom w:val="single" w:sz="12" w:space="0" w:color="000000"/>
              <w:right w:val="single" w:sz="12" w:space="0" w:color="000000"/>
            </w:tcBorders>
          </w:tcPr>
          <w:p>
            <w:pPr>
              <w:pStyle w:val="Normal"/>
              <w:spacing w:lineRule="auto" w:line="240" w:before="0" w:after="200"/>
              <w:jc w:val="center"/>
              <w:rPr/>
            </w:pPr>
            <w:r>
              <w:rPr/>
              <w:t>0,39</w:t>
            </w:r>
          </w:p>
        </w:tc>
      </w:tr>
    </w:tbl>
    <w:p>
      <w:pPr>
        <w:pStyle w:val="Normal"/>
        <w:jc w:val="center"/>
        <w:rPr/>
      </w:pPr>
      <w:r>
        <w:rPr/>
      </w:r>
    </w:p>
    <w:p>
      <w:pPr>
        <w:pStyle w:val="Heading2"/>
        <w:rPr/>
      </w:pPr>
      <w:r>
        <w:rPr/>
        <w:t>Výpočty a odvození</w:t>
      </w:r>
    </w:p>
    <w:p>
      <w:pPr>
        <w:pStyle w:val="Heading3"/>
        <w:rPr/>
      </w:pPr>
      <w:r>
        <w:rPr/>
        <w:t>Měření Ohmovou metodou – výpočet kapacity</w:t>
      </w:r>
    </w:p>
    <w:p>
      <w:pPr>
        <w:pStyle w:val="Normal"/>
        <w:jc w:val="center"/>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I</m:t>
              </m:r>
            </m:num>
            <m:den>
              <m:r>
                <w:rPr>
                  <w:rFonts w:ascii="Cambria Math" w:hAnsi="Cambria Math"/>
                </w:rPr>
                <m:t xml:space="preserve">2</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U</m:t>
              </m:r>
            </m:den>
          </m:f>
          <m:r>
            <w:rPr>
              <w:rFonts w:ascii="Cambria Math" w:hAnsi="Cambria Math"/>
            </w:rPr>
            <m:t xml:space="preserve">=</m:t>
          </m:r>
          <m:f>
            <m:num>
              <m:r>
                <w:rPr>
                  <w:rFonts w:ascii="Cambria Math" w:hAnsi="Cambria Math"/>
                </w:rPr>
                <m:t xml:space="preserve">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num>
            <m:den>
              <m:r>
                <w:rPr>
                  <w:rFonts w:ascii="Cambria Math" w:hAnsi="Cambria Math"/>
                </w:rPr>
                <m:t xml:space="preserve">2</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100</m:t>
              </m:r>
              <m:r>
                <w:rPr>
                  <w:rFonts w:ascii="Cambria Math" w:hAnsi="Cambria Math"/>
                </w:rPr>
                <m:t xml:space="preserve">∗</m:t>
              </m:r>
              <m:r>
                <w:rPr>
                  <w:rFonts w:ascii="Cambria Math" w:hAnsi="Cambria Math"/>
                </w:rPr>
                <m:t xml:space="preserve">4</m:t>
              </m:r>
              <m:r>
                <w:rPr>
                  <w:rFonts w:ascii="Cambria Math" w:hAnsi="Cambria Math"/>
                </w:rPr>
                <m:t xml:space="preserve">,9</m:t>
              </m:r>
            </m:den>
          </m:f>
          <m:r>
            <w:rPr>
              <w:rFonts w:ascii="Cambria Math" w:hAnsi="Cambria Math"/>
            </w:rPr>
            <m:t xml:space="preserve">=</m:t>
          </m:r>
          <m:r>
            <w:rPr>
              <w:rFonts w:ascii="Cambria Math" w:hAnsi="Cambria Math"/>
            </w:rPr>
            <m:t xml:space="preserve">6</m:t>
          </m:r>
          <m:r>
            <w:rPr>
              <w:rFonts w:ascii="Cambria Math" w:hAnsi="Cambria Math"/>
            </w:rPr>
            <m:t xml:space="preserve">,50</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7</m:t>
              </m:r>
            </m:sup>
          </m:sSup>
          <m:d>
            <m:dPr>
              <m:begChr m:val="("/>
              <m:endChr m:val=")"/>
            </m:dPr>
            <m:e>
              <m:r>
                <w:rPr>
                  <w:rFonts w:ascii="Cambria Math" w:hAnsi="Cambria Math"/>
                </w:rPr>
                <m:t xml:space="preserve">F</m:t>
              </m:r>
            </m:e>
          </m:d>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I</m:t>
              </m:r>
            </m:num>
            <m:den>
              <m:r>
                <w:rPr>
                  <w:rFonts w:ascii="Cambria Math" w:hAnsi="Cambria Math"/>
                </w:rPr>
                <m:t xml:space="preserve">2</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U</m:t>
              </m:r>
            </m:den>
          </m:f>
          <m:r>
            <w:rPr>
              <w:rFonts w:ascii="Cambria Math" w:hAnsi="Cambria Math"/>
            </w:rPr>
            <m:t xml:space="preserve">=</m:t>
          </m:r>
          <m:f>
            <m:num>
              <m:r>
                <w:rPr>
                  <w:rFonts w:ascii="Cambria Math" w:hAnsi="Cambria Math"/>
                </w:rPr>
                <m:t xml:space="preserve">32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num>
            <m:den>
              <m:r>
                <w:rPr>
                  <w:rFonts w:ascii="Cambria Math" w:hAnsi="Cambria Math"/>
                </w:rPr>
                <m:t xml:space="preserve">2</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100</m:t>
              </m:r>
              <m:r>
                <w:rPr>
                  <w:rFonts w:ascii="Cambria Math" w:hAnsi="Cambria Math"/>
                </w:rPr>
                <m:t xml:space="preserve">∗</m:t>
              </m:r>
              <m:r>
                <w:rPr>
                  <w:rFonts w:ascii="Cambria Math" w:hAnsi="Cambria Math"/>
                </w:rPr>
                <m:t xml:space="preserve">4.9</m:t>
              </m:r>
            </m:den>
          </m:f>
          <m:r>
            <w:rPr>
              <w:rFonts w:ascii="Cambria Math" w:hAnsi="Cambria Math"/>
            </w:rPr>
            <m:t xml:space="preserve">=</m:t>
          </m:r>
          <m:r>
            <w:rPr>
              <w:rFonts w:ascii="Cambria Math" w:hAnsi="Cambria Math"/>
            </w:rPr>
            <m:t xml:space="preserve">1</m:t>
          </m:r>
          <m:r>
            <w:rPr>
              <w:rFonts w:ascii="Cambria Math" w:hAnsi="Cambria Math"/>
            </w:rPr>
            <m:t xml:space="preserve">,04</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d>
            <m:dPr>
              <m:begChr m:val="("/>
              <m:endChr m:val=")"/>
            </m:dPr>
            <m:e>
              <m:r>
                <w:rPr>
                  <w:rFonts w:ascii="Cambria Math" w:hAnsi="Cambria Math"/>
                </w:rPr>
                <m:t xml:space="preserve">F</m:t>
              </m:r>
            </m:e>
          </m:d>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I</m:t>
              </m:r>
            </m:num>
            <m:den>
              <m:r>
                <w:rPr>
                  <w:rFonts w:ascii="Cambria Math" w:hAnsi="Cambria Math"/>
                </w:rPr>
                <m:t xml:space="preserve">2</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U</m:t>
              </m:r>
            </m:den>
          </m:f>
          <m:r>
            <w:rPr>
              <w:rFonts w:ascii="Cambria Math" w:hAnsi="Cambria Math"/>
            </w:rPr>
            <m:t xml:space="preserve">=</m:t>
          </m:r>
          <m:f>
            <m:num>
              <m:r>
                <w:rPr>
                  <w:rFonts w:ascii="Cambria Math" w:hAnsi="Cambria Math"/>
                </w:rPr>
                <m:t xml:space="preserve">35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num>
            <m:den>
              <m:r>
                <w:rPr>
                  <w:rFonts w:ascii="Cambria Math" w:hAnsi="Cambria Math"/>
                </w:rPr>
                <m:t xml:space="preserve">2</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100</m:t>
              </m:r>
              <m:r>
                <w:rPr>
                  <w:rFonts w:ascii="Cambria Math" w:hAnsi="Cambria Math"/>
                </w:rPr>
                <m:t xml:space="preserve">∗</m:t>
              </m:r>
              <m:r>
                <w:rPr>
                  <w:rFonts w:ascii="Cambria Math" w:hAnsi="Cambria Math"/>
                </w:rPr>
                <m:t xml:space="preserve">4.9</m:t>
              </m:r>
            </m:den>
          </m:f>
          <m:r>
            <w:rPr>
              <w:rFonts w:ascii="Cambria Math" w:hAnsi="Cambria Math"/>
            </w:rPr>
            <m:t xml:space="preserve">=</m:t>
          </m:r>
          <m:r>
            <w:rPr>
              <w:rFonts w:ascii="Cambria Math" w:hAnsi="Cambria Math"/>
            </w:rPr>
            <m:t xml:space="preserve">1</m:t>
          </m:r>
          <m:r>
            <w:rPr>
              <w:rFonts w:ascii="Cambria Math" w:hAnsi="Cambria Math"/>
            </w:rPr>
            <m:t xml:space="preserve">,14</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d>
            <m:dPr>
              <m:begChr m:val="("/>
              <m:endChr m:val=")"/>
            </m:dPr>
            <m:e>
              <m:r>
                <w:rPr>
                  <w:rFonts w:ascii="Cambria Math" w:hAnsi="Cambria Math"/>
                </w:rPr>
                <m:t xml:space="preserve">F</m:t>
              </m:r>
            </m:e>
          </m:d>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S</m:t>
              </m:r>
            </m:sub>
          </m:sSub>
          <m:r>
            <w:rPr>
              <w:rFonts w:ascii="Cambria Math" w:hAnsi="Cambria Math"/>
            </w:rPr>
            <m:t xml:space="preserve">=</m:t>
          </m:r>
          <m:f>
            <m:num>
              <m:r>
                <w:rPr>
                  <w:rFonts w:ascii="Cambria Math" w:hAnsi="Cambria Math"/>
                </w:rPr>
                <m:t xml:space="preserve">I</m:t>
              </m:r>
            </m:num>
            <m:den>
              <m:r>
                <w:rPr>
                  <w:rFonts w:ascii="Cambria Math" w:hAnsi="Cambria Math"/>
                </w:rPr>
                <m:t xml:space="preserve">2</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U</m:t>
              </m:r>
            </m:den>
          </m:f>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w:rPr>
                  <w:rFonts w:ascii="Cambria Math" w:hAnsi="Cambria Math"/>
                </w:rPr>
                <m:t xml:space="preserve">F</m:t>
              </m:r>
            </m:e>
          </m:d>
        </m:oMath>
      </m:oMathPara>
    </w:p>
    <w:p>
      <w:pPr>
        <w:pStyle w:val="Normal"/>
        <w:jc w:val="center"/>
        <w:rPr/>
      </w:pPr>
      <w:r>
        <w:rPr/>
        <w:t>Pozn.: C</w:t>
      </w:r>
      <w:r>
        <w:rPr>
          <w:vertAlign w:val="subscript"/>
        </w:rPr>
        <w:t>S</w:t>
      </w:r>
      <w:r>
        <w:rPr/>
        <w:t xml:space="preserve"> – kondenzátory C</w:t>
      </w:r>
      <w:r>
        <w:rPr>
          <w:vertAlign w:val="subscript"/>
        </w:rPr>
        <w:t>1</w:t>
      </w:r>
      <w:r>
        <w:rPr/>
        <w:t>C</w:t>
      </w:r>
      <w:r>
        <w:rPr>
          <w:vertAlign w:val="subscript"/>
        </w:rPr>
        <w:t>2</w:t>
      </w:r>
      <w:r>
        <w:rPr/>
        <w:t>C</w:t>
      </w:r>
      <w:r>
        <w:rPr>
          <w:vertAlign w:val="subscript"/>
        </w:rPr>
        <w:t>3</w:t>
      </w:r>
      <w:r>
        <w:rPr/>
        <w:t xml:space="preserve"> spojeny sériově</w:t>
      </w:r>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I</m:t>
              </m:r>
            </m:num>
            <m:den>
              <m:r>
                <w:rPr>
                  <w:rFonts w:ascii="Cambria Math" w:hAnsi="Cambria Math"/>
                </w:rPr>
                <m:t xml:space="preserve">2</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U</m:t>
              </m:r>
            </m:den>
          </m:f>
          <m:r>
            <w:rPr>
              <w:rFonts w:ascii="Cambria Math" w:hAnsi="Cambria Math"/>
            </w:rPr>
            <m:t xml:space="preserve">=</m:t>
          </m:r>
          <m:f>
            <m:num>
              <m:r>
                <w:rPr>
                  <w:rFonts w:ascii="Cambria Math" w:hAnsi="Cambria Math"/>
                </w:rPr>
                <m:t xml:space="preserve">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num>
            <m:den>
              <m:r>
                <w:rPr>
                  <w:rFonts w:ascii="Cambria Math" w:hAnsi="Cambria Math"/>
                </w:rPr>
                <m:t xml:space="preserve">2</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100</m:t>
              </m:r>
              <m:r>
                <w:rPr>
                  <w:rFonts w:ascii="Cambria Math" w:hAnsi="Cambria Math"/>
                </w:rPr>
                <m:t xml:space="preserve">∗</m:t>
              </m:r>
              <m:r>
                <w:rPr>
                  <w:rFonts w:ascii="Cambria Math" w:hAnsi="Cambria Math"/>
                </w:rPr>
                <m:t xml:space="preserve">4.9</m:t>
              </m:r>
            </m:den>
          </m:f>
          <m:r>
            <w:rPr>
              <w:rFonts w:ascii="Cambria Math" w:hAnsi="Cambria Math"/>
            </w:rPr>
            <m:t xml:space="preserve">=</m:t>
          </m:r>
          <m:r>
            <w:rPr>
              <w:rFonts w:ascii="Cambria Math" w:hAnsi="Cambria Math"/>
            </w:rPr>
            <m:t xml:space="preserve">6</m:t>
          </m:r>
          <m:r>
            <w:rPr>
              <w:rFonts w:ascii="Cambria Math" w:hAnsi="Cambria Math"/>
            </w:rPr>
            <m:t xml:space="preserve">,50</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7</m:t>
              </m:r>
            </m:sup>
          </m:sSup>
          <m:d>
            <m:dPr>
              <m:begChr m:val="("/>
              <m:endChr m:val=")"/>
            </m:dPr>
            <m:e>
              <m:r>
                <w:rPr>
                  <w:rFonts w:ascii="Cambria Math" w:hAnsi="Cambria Math"/>
                </w:rPr>
                <m:t xml:space="preserve">F</m:t>
              </m:r>
            </m:e>
          </m:d>
        </m:oMath>
      </m:oMathPara>
    </w:p>
    <w:p>
      <w:pPr>
        <w:pStyle w:val="Normal"/>
        <w:jc w:val="center"/>
        <w:rPr/>
      </w:pPr>
      <w:r>
        <w:rPr/>
        <w:t>Pozn.: C</w:t>
      </w:r>
      <w:r>
        <w:rPr>
          <w:vertAlign w:val="subscript"/>
        </w:rPr>
        <w:t>P</w:t>
      </w:r>
      <w:r>
        <w:rPr/>
        <w:t xml:space="preserve"> – kondenzátory C</w:t>
      </w:r>
      <w:r>
        <w:rPr>
          <w:vertAlign w:val="subscript"/>
        </w:rPr>
        <w:t>1</w:t>
      </w:r>
      <w:r>
        <w:rPr/>
        <w:t>C</w:t>
      </w:r>
      <w:r>
        <w:rPr>
          <w:vertAlign w:val="subscript"/>
        </w:rPr>
        <w:t>2</w:t>
      </w:r>
      <w:r>
        <w:rPr/>
        <w:t>C</w:t>
      </w:r>
      <w:r>
        <w:rPr>
          <w:vertAlign w:val="subscript"/>
        </w:rPr>
        <w:t>3</w:t>
      </w:r>
      <w:r>
        <w:rPr/>
        <w:t xml:space="preserve"> spojeny paralelně</w:t>
      </w:r>
    </w:p>
    <w:p>
      <w:pPr>
        <w:pStyle w:val="Normal"/>
        <w:rPr/>
      </w:pPr>
      <w:r>
        <w:rPr/>
      </w:r>
    </w:p>
    <w:p>
      <w:pPr>
        <w:pStyle w:val="Heading3"/>
        <w:rPr/>
      </w:pPr>
      <w:r>
        <w:rPr/>
        <w:t>Výpočet reaktance</w:t>
      </w:r>
    </w:p>
    <w:p>
      <w:pPr>
        <w:pStyle w:val="Normal"/>
        <w:rPr/>
      </w:pPr>
      <w:r>
        <w:rPr/>
        <w:t xml:space="preserve">Zde proveďte vzorové dosazení (pro napětí: …………………… V) z tabulky 4 zachycující závislost </w:t>
      </w:r>
      <w:r>
        <w:rPr>
          <w:i/>
          <w:iCs/>
        </w:rPr>
        <w:t>I</w:t>
      </w:r>
      <w:r>
        <w:rPr/>
        <w:t xml:space="preserve"> = </w:t>
      </w:r>
      <w:r>
        <w:rPr>
          <w:i/>
          <w:iCs/>
        </w:rPr>
        <w:t>I</w:t>
      </w:r>
      <w:r>
        <w:rPr/>
        <w:t>(</w:t>
      </w:r>
      <w:r>
        <w:rPr>
          <w:i/>
          <w:iCs/>
        </w:rPr>
        <w:t>U</w:t>
      </w:r>
      <w:r>
        <w:rPr/>
        <w:t>):</w:t>
      </w:r>
    </w:p>
    <w:p>
      <w:pPr>
        <w:pStyle w:val="Normal"/>
        <w:rPr/>
      </w:pPr>
      <w:r>
        <w:rPr/>
      </w:r>
    </w:p>
    <w:p>
      <w:pPr>
        <w:pStyle w:val="Normal"/>
        <w:jc w:val="center"/>
        <w:rPr>
          <w:b/>
          <w:bCs/>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C</m:t>
              </m:r>
            </m:sub>
          </m:sSub>
          <m:r>
            <w:rPr>
              <w:rFonts w:ascii="Cambria Math" w:hAnsi="Cambria Math"/>
            </w:rPr>
            <m:t xml:space="preserve">=</m:t>
          </m:r>
          <m:f>
            <m:num>
              <m:r>
                <w:rPr>
                  <w:rFonts w:ascii="Cambria Math" w:hAnsi="Cambria Math"/>
                </w:rPr>
                <m:t xml:space="preserve">U</m:t>
              </m:r>
            </m:num>
            <m:den>
              <m:r>
                <w:rPr>
                  <w:rFonts w:ascii="Cambria Math" w:hAnsi="Cambria Math"/>
                </w:rPr>
                <m:t xml:space="preserve">I</m:t>
              </m:r>
            </m:den>
          </m:f>
          <m:r>
            <w:rPr>
              <w:rFonts w:ascii="Cambria Math" w:hAnsi="Cambria Math"/>
            </w:rPr>
            <m:t xml:space="preserve">=</m:t>
          </m:r>
          <m:f>
            <m:num>
              <m:r>
                <w:rPr>
                  <w:rFonts w:ascii="Cambria Math" w:hAnsi="Cambria Math"/>
                </w:rPr>
                <m:t xml:space="preserve">0</m:t>
              </m:r>
              <m:r>
                <w:rPr>
                  <w:rFonts w:ascii="Cambria Math" w:hAnsi="Cambria Math"/>
                </w:rPr>
                <m:t xml:space="preserve">,5</m:t>
              </m:r>
            </m:num>
            <m:den>
              <m:r>
                <w:rPr>
                  <w:rFonts w:ascii="Cambria Math" w:hAnsi="Cambria Math"/>
                </w:rPr>
                <m:t xml:space="preserve">0</m:t>
              </m:r>
              <m:r>
                <w:rPr>
                  <w:rFonts w:ascii="Cambria Math" w:hAnsi="Cambria Math"/>
                </w:rPr>
                <m:t xml:space="preserve">,02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den>
          </m:f>
          <m:r>
            <w:rPr>
              <w:rFonts w:ascii="Cambria Math" w:hAnsi="Cambria Math"/>
            </w:rPr>
            <m:t xml:space="preserve">=</m:t>
          </m:r>
          <m:r>
            <w:rPr>
              <w:rFonts w:ascii="Cambria Math" w:hAnsi="Cambria Math"/>
            </w:rPr>
            <m:t xml:space="preserve">25</m:t>
          </m:r>
          <m:d>
            <m:dPr>
              <m:begChr m:val="("/>
              <m:endChr m:val=")"/>
            </m:dPr>
            <m:e>
              <m:r>
                <w:rPr>
                  <w:rFonts w:ascii="Cambria Math" w:hAnsi="Cambria Math"/>
                </w:rPr>
                <m:t xml:space="preserve">Ω</m:t>
              </m:r>
            </m:e>
          </m:d>
        </m:oMath>
      </m:oMathPara>
    </w:p>
    <w:p>
      <w:pPr>
        <w:pStyle w:val="Normal"/>
        <w:jc w:val="center"/>
        <w:rPr/>
      </w:pPr>
      <w:r>
        <w:rPr/>
      </w:r>
    </w:p>
    <w:p>
      <w:pPr>
        <w:pStyle w:val="Normal"/>
        <w:rPr/>
      </w:pPr>
      <w:r>
        <w:rPr/>
        <w:t xml:space="preserve">Zde proveďte vzorové dosazení (pro kmitočet: ………………… Hz) z tabulky 3 zachycující závislost </w:t>
      </w:r>
      <w:r>
        <w:rPr>
          <w:i/>
          <w:iCs/>
        </w:rPr>
        <w:t>I</w:t>
      </w:r>
      <w:r>
        <w:rPr/>
        <w:t xml:space="preserve"> = </w:t>
      </w:r>
      <w:r>
        <w:rPr>
          <w:i/>
          <w:iCs/>
        </w:rPr>
        <w:t>I</w:t>
      </w:r>
      <w:r>
        <w:rPr/>
        <w:t>(</w:t>
      </w:r>
      <w:r>
        <w:rPr>
          <w:i/>
          <w:iCs/>
        </w:rPr>
        <w:t>f</w:t>
      </w:r>
      <w:r>
        <w:rPr/>
        <w:t>):</w:t>
      </w:r>
    </w:p>
    <w:p>
      <w:pPr>
        <w:pStyle w:val="Normal"/>
        <w:rPr/>
      </w:pPr>
      <w:r>
        <w:rPr/>
      </w:r>
    </w:p>
    <w:p>
      <w:pPr>
        <w:pStyle w:val="Normal"/>
        <w:jc w:val="center"/>
        <w:rPr>
          <w:b/>
          <w:bCs/>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C</m:t>
              </m:r>
            </m:sub>
          </m:sSub>
          <m:r>
            <w:rPr>
              <w:rFonts w:ascii="Cambria Math" w:hAnsi="Cambria Math"/>
            </w:rPr>
            <m:t xml:space="preserve">=</m:t>
          </m:r>
          <m:f>
            <m:num>
              <m:r>
                <w:rPr>
                  <w:rFonts w:ascii="Cambria Math" w:hAnsi="Cambria Math"/>
                </w:rPr>
                <m:t xml:space="preserve">U</m:t>
              </m:r>
            </m:num>
            <m:den>
              <m:r>
                <w:rPr>
                  <w:rFonts w:ascii="Cambria Math" w:hAnsi="Cambria Math"/>
                </w:rPr>
                <m:t xml:space="preserve">I</m:t>
              </m:r>
            </m:den>
          </m:f>
          <m:r>
            <w:rPr>
              <w:rFonts w:ascii="Cambria Math" w:hAnsi="Cambria Math"/>
            </w:rPr>
            <m:t xml:space="preserve">=</m:t>
          </m:r>
          <m:f>
            <m:num>
              <m:r>
                <w:rPr>
                  <w:rFonts w:ascii="Cambria Math" w:hAnsi="Cambria Math"/>
                </w:rPr>
                <m:t xml:space="preserve">4</m:t>
              </m:r>
            </m:num>
            <m:den>
              <m:r>
                <w:rPr>
                  <w:rFonts w:ascii="Cambria Math" w:hAnsi="Cambria Math"/>
                </w:rPr>
                <m:t xml:space="preserve">0.01</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den>
          </m:f>
          <m:r>
            <w:rPr>
              <w:rFonts w:ascii="Cambria Math" w:hAnsi="Cambria Math"/>
            </w:rPr>
            <m:t xml:space="preserve">=</m:t>
          </m:r>
          <m:r>
            <w:rPr>
              <w:rFonts w:ascii="Cambria Math" w:hAnsi="Cambria Math"/>
            </w:rPr>
            <m:t xml:space="preserve">400</m:t>
          </m:r>
          <m:d>
            <m:dPr>
              <m:begChr m:val="("/>
              <m:endChr m:val=")"/>
            </m:dPr>
            <m:e>
              <m:r>
                <w:rPr>
                  <w:rFonts w:ascii="Cambria Math" w:hAnsi="Cambria Math"/>
                </w:rPr>
                <m:t xml:space="preserve">Ω</m:t>
              </m:r>
            </m:e>
          </m:d>
        </m:oMath>
      </m:oMathPara>
    </w:p>
    <w:p>
      <w:pPr>
        <w:pStyle w:val="Normal"/>
        <w:jc w:val="center"/>
        <w:rPr/>
      </w:pPr>
      <w:r>
        <w:rPr/>
      </w:r>
    </w:p>
    <w:p>
      <w:pPr>
        <w:pStyle w:val="Heading2"/>
        <w:rPr/>
      </w:pPr>
      <w:r>
        <w:rPr/>
        <w:t>Tabulky vypočtených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5</w:t>
      </w:r>
      <w:r>
        <w:rPr/>
        <w:fldChar w:fldCharType="end"/>
      </w:r>
      <w:r>
        <w:rPr/>
        <w:t>: Měření Ohmovou metodou - výpočet neznámé kapacity, absolutní a relativní chyby měření kapacity</w:t>
      </w:r>
    </w:p>
    <w:tbl>
      <w:tblPr>
        <w:tblW w:w="4644"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534"/>
        <w:gridCol w:w="1092"/>
        <w:gridCol w:w="1138"/>
        <w:gridCol w:w="879"/>
      </w:tblGrid>
      <w:tr>
        <w:trPr>
          <w:tblHeader w:val="true"/>
          <w:trHeight w:val="328" w:hRule="atLeast"/>
          <w:cantSplit w:val="true"/>
        </w:trPr>
        <w:tc>
          <w:tcPr>
            <w:tcW w:w="1534"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b/>
                <w:i/>
                <w:i/>
              </w:rPr>
            </w:pPr>
            <w:r>
              <w:rPr>
                <w:b/>
                <w:i/>
              </w:rPr>
            </w:r>
          </w:p>
        </w:tc>
        <w:tc>
          <w:tcPr>
            <w:tcW w:w="1092"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b/>
              </w:rPr>
            </w:pPr>
            <w:r>
              <w:rPr>
                <w:b/>
              </w:rPr>
              <w:t>C</w:t>
            </w:r>
            <w:r>
              <w:rPr>
                <w:b/>
                <w:vertAlign w:val="subscript"/>
              </w:rPr>
              <w:t>X</w:t>
            </w:r>
            <w:r>
              <w:rPr>
                <w:b/>
              </w:rPr>
              <w:t xml:space="preserve"> (F)</w:t>
            </w:r>
          </w:p>
        </w:tc>
        <w:tc>
          <w:tcPr>
            <w:tcW w:w="1138"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b/>
              </w:rPr>
            </w:pPr>
            <w:r>
              <w:rPr>
                <w:b/>
              </w:rPr>
              <w:t>Δ</w:t>
            </w:r>
            <w:r>
              <w:rPr>
                <w:b/>
                <w:vertAlign w:val="subscript"/>
              </w:rPr>
              <w:t>C</w:t>
            </w:r>
            <w:r>
              <w:rPr>
                <w:b/>
              </w:rPr>
              <w:t xml:space="preserve"> (F)</w:t>
            </w:r>
          </w:p>
        </w:tc>
        <w:tc>
          <w:tcPr>
            <w:tcW w:w="879"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rPr>
            </w:pPr>
            <w:r>
              <w:rPr>
                <w:b/>
              </w:rPr>
              <w:t>δ</w:t>
            </w:r>
            <w:r>
              <w:rPr>
                <w:b/>
                <w:vertAlign w:val="subscript"/>
              </w:rPr>
              <w:t>C</w:t>
            </w:r>
            <w:r>
              <w:rPr>
                <w:b/>
              </w:rPr>
              <w:t xml:space="preserve"> (%)</w:t>
            </w:r>
          </w:p>
        </w:tc>
      </w:tr>
      <w:tr>
        <w:trPr>
          <w:trHeight w:val="339" w:hRule="atLeast"/>
        </w:trPr>
        <w:tc>
          <w:tcPr>
            <w:tcW w:w="1534"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vertAlign w:val="subscript"/>
              </w:rPr>
            </w:pPr>
            <w:r>
              <w:rPr/>
              <w:t>C</w:t>
            </w:r>
            <w:r>
              <w:rPr>
                <w:vertAlign w:val="subscript"/>
              </w:rPr>
              <w:t>1</w:t>
            </w:r>
          </w:p>
        </w:tc>
        <w:tc>
          <w:tcPr>
            <w:tcW w:w="10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b w:val="false"/>
                <w:bCs w:val="false"/>
              </w:rPr>
            </w:pPr>
            <w:r>
              <w:rPr>
                <w:b w:val="false"/>
                <w:bCs w:val="false"/>
              </w:rPr>
              <w:t>0,01*10</w:t>
            </w:r>
            <w:r>
              <w:rPr>
                <w:b w:val="false"/>
                <w:bCs w:val="false"/>
                <w:vertAlign w:val="superscript"/>
              </w:rPr>
              <w:t>-6</w:t>
            </w:r>
          </w:p>
        </w:tc>
        <w:tc>
          <w:tcPr>
            <w:tcW w:w="113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b w:val="false"/>
                <w:bCs w:val="false"/>
              </w:rPr>
            </w:pPr>
            <w:r>
              <w:rPr>
                <w:b w:val="false"/>
                <w:bCs w:val="false"/>
              </w:rPr>
              <w:t>0</w:t>
            </w:r>
          </w:p>
        </w:tc>
        <w:tc>
          <w:tcPr>
            <w:tcW w:w="879"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val="false"/>
                <w:bCs w:val="false"/>
              </w:rPr>
            </w:pPr>
            <w:r>
              <w:rPr>
                <w:b w:val="false"/>
                <w:bCs w:val="false"/>
              </w:rPr>
              <w:t>0</w:t>
            </w:r>
          </w:p>
        </w:tc>
      </w:tr>
      <w:tr>
        <w:trPr>
          <w:trHeight w:val="350" w:hRule="atLeast"/>
        </w:trPr>
        <w:tc>
          <w:tcPr>
            <w:tcW w:w="1534"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vertAlign w:val="subscript"/>
              </w:rPr>
            </w:pPr>
            <w:r>
              <w:rPr/>
              <w:t>C</w:t>
            </w:r>
            <w:r>
              <w:rPr>
                <w:vertAlign w:val="subscript"/>
              </w:rPr>
              <w:t>2</w:t>
            </w:r>
          </w:p>
        </w:tc>
        <w:tc>
          <w:tcPr>
            <w:tcW w:w="10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b w:val="false"/>
                <w:bCs w:val="false"/>
              </w:rPr>
            </w:pPr>
            <w:r>
              <w:rPr>
                <w:b w:val="false"/>
                <w:bCs w:val="false"/>
              </w:rPr>
              <w:t>0,1*10</w:t>
            </w:r>
            <w:r>
              <w:rPr>
                <w:b w:val="false"/>
                <w:bCs w:val="false"/>
                <w:vertAlign w:val="superscript"/>
              </w:rPr>
              <w:t>-6</w:t>
            </w:r>
          </w:p>
        </w:tc>
        <w:tc>
          <w:tcPr>
            <w:tcW w:w="113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b w:val="false"/>
                <w:bCs w:val="false"/>
              </w:rPr>
            </w:pPr>
            <w:r>
              <w:rPr>
                <w:b w:val="false"/>
                <w:bCs w:val="false"/>
              </w:rPr>
              <w:t>0</w:t>
            </w:r>
          </w:p>
        </w:tc>
        <w:tc>
          <w:tcPr>
            <w:tcW w:w="879"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val="false"/>
                <w:bCs w:val="false"/>
              </w:rPr>
            </w:pPr>
            <w:r>
              <w:rPr>
                <w:b w:val="false"/>
                <w:bCs w:val="false"/>
              </w:rPr>
              <w:t>0</w:t>
            </w:r>
          </w:p>
        </w:tc>
      </w:tr>
      <w:tr>
        <w:trPr>
          <w:trHeight w:val="332" w:hRule="atLeast"/>
        </w:trPr>
        <w:tc>
          <w:tcPr>
            <w:tcW w:w="1534"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vertAlign w:val="subscript"/>
              </w:rPr>
            </w:pPr>
            <w:r>
              <w:rPr/>
              <w:t>C</w:t>
            </w:r>
            <w:r>
              <w:rPr>
                <w:vertAlign w:val="subscript"/>
              </w:rPr>
              <w:t>3</w:t>
            </w:r>
          </w:p>
        </w:tc>
        <w:tc>
          <w:tcPr>
            <w:tcW w:w="10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b w:val="false"/>
                <w:bCs w:val="false"/>
              </w:rPr>
            </w:pPr>
            <w:r>
              <w:rPr>
                <w:b w:val="false"/>
                <w:bCs w:val="false"/>
              </w:rPr>
              <w:t>100*10</w:t>
            </w:r>
            <w:r>
              <w:rPr>
                <w:b w:val="false"/>
                <w:bCs w:val="false"/>
                <w:vertAlign w:val="superscript"/>
              </w:rPr>
              <w:t>-12</w:t>
            </w:r>
          </w:p>
        </w:tc>
        <w:tc>
          <w:tcPr>
            <w:tcW w:w="113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b w:val="false"/>
                <w:bCs w:val="false"/>
              </w:rPr>
            </w:pPr>
            <w:r>
              <w:rPr>
                <w:b w:val="false"/>
                <w:bCs w:val="false"/>
              </w:rPr>
              <w:t>0</w:t>
            </w:r>
          </w:p>
        </w:tc>
        <w:tc>
          <w:tcPr>
            <w:tcW w:w="879"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val="false"/>
                <w:bCs w:val="false"/>
              </w:rPr>
            </w:pPr>
            <w:r>
              <w:rPr>
                <w:b w:val="false"/>
                <w:bCs w:val="false"/>
              </w:rPr>
              <w:t>0</w:t>
            </w:r>
          </w:p>
        </w:tc>
      </w:tr>
      <w:tr>
        <w:trPr>
          <w:trHeight w:val="355" w:hRule="atLeast"/>
        </w:trPr>
        <w:tc>
          <w:tcPr>
            <w:tcW w:w="1534"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C</w:t>
            </w:r>
            <w:r>
              <w:rPr>
                <w:vertAlign w:val="subscript"/>
              </w:rPr>
              <w:t>1</w:t>
            </w:r>
            <w:r>
              <w:rPr/>
              <w:t>C</w:t>
            </w:r>
            <w:r>
              <w:rPr>
                <w:vertAlign w:val="subscript"/>
              </w:rPr>
              <w:t>2</w:t>
            </w:r>
            <w:r>
              <w:rPr/>
              <w:t xml:space="preserve"> C</w:t>
            </w:r>
            <w:r>
              <w:rPr>
                <w:vertAlign w:val="subscript"/>
              </w:rPr>
              <w:t>3</w:t>
            </w:r>
            <w:r>
              <w:rPr/>
              <w:t xml:space="preserve"> par.</w:t>
            </w:r>
          </w:p>
        </w:tc>
        <w:tc>
          <w:tcPr>
            <w:tcW w:w="10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b w:val="false"/>
                <w:bCs w:val="false"/>
              </w:rPr>
            </w:pPr>
            <w:r>
              <w:rPr>
                <w:b w:val="false"/>
                <w:bCs w:val="false"/>
              </w:rPr>
              <w:t>1,163*10</w:t>
            </w:r>
            <w:r>
              <w:rPr>
                <w:b w:val="false"/>
                <w:bCs w:val="false"/>
                <w:vertAlign w:val="superscript"/>
              </w:rPr>
              <w:t>-7</w:t>
            </w:r>
          </w:p>
        </w:tc>
        <w:tc>
          <w:tcPr>
            <w:tcW w:w="113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b w:val="false"/>
                <w:bCs w:val="false"/>
              </w:rPr>
            </w:pPr>
            <w:r>
              <w:rPr>
                <w:b w:val="false"/>
                <w:bCs w:val="false"/>
              </w:rPr>
              <w:t>6,2*10</w:t>
            </w:r>
            <w:r>
              <w:rPr>
                <w:b w:val="false"/>
                <w:bCs w:val="false"/>
                <w:vertAlign w:val="superscript"/>
              </w:rPr>
              <w:t>-9</w:t>
            </w:r>
          </w:p>
        </w:tc>
        <w:tc>
          <w:tcPr>
            <w:tcW w:w="879"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val="false"/>
                <w:bCs w:val="false"/>
              </w:rPr>
            </w:pPr>
            <w:r>
              <w:rPr>
                <w:b w:val="false"/>
                <w:bCs w:val="false"/>
              </w:rPr>
              <w:t>5,331</w:t>
            </w:r>
          </w:p>
        </w:tc>
      </w:tr>
      <w:tr>
        <w:trPr>
          <w:trHeight w:val="352" w:hRule="atLeast"/>
        </w:trPr>
        <w:tc>
          <w:tcPr>
            <w:tcW w:w="1534"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t>C</w:t>
            </w:r>
            <w:r>
              <w:rPr>
                <w:vertAlign w:val="subscript"/>
              </w:rPr>
              <w:t>1</w:t>
            </w:r>
            <w:r>
              <w:rPr/>
              <w:t>C</w:t>
            </w:r>
            <w:r>
              <w:rPr>
                <w:vertAlign w:val="subscript"/>
              </w:rPr>
              <w:t>2</w:t>
            </w:r>
            <w:r>
              <w:rPr/>
              <w:t xml:space="preserve"> C</w:t>
            </w:r>
            <w:r>
              <w:rPr>
                <w:vertAlign w:val="subscript"/>
              </w:rPr>
              <w:t xml:space="preserve">3 </w:t>
            </w:r>
            <w:r>
              <w:rPr/>
              <w:t>sér.</w:t>
            </w:r>
          </w:p>
        </w:tc>
        <w:tc>
          <w:tcPr>
            <w:tcW w:w="1092"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b w:val="false"/>
                <w:bCs w:val="false"/>
              </w:rPr>
            </w:pPr>
            <w:r>
              <w:rPr>
                <w:b w:val="false"/>
                <w:bCs w:val="false"/>
              </w:rPr>
              <w:t>9,402*10</w:t>
            </w:r>
            <w:r>
              <w:rPr>
                <w:b w:val="false"/>
                <w:bCs w:val="false"/>
                <w:vertAlign w:val="superscript"/>
              </w:rPr>
              <w:t>-9</w:t>
            </w:r>
          </w:p>
        </w:tc>
        <w:tc>
          <w:tcPr>
            <w:tcW w:w="1138"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b w:val="false"/>
                <w:bCs w:val="false"/>
              </w:rPr>
            </w:pPr>
            <w:r>
              <w:rPr>
                <w:b w:val="false"/>
                <w:bCs w:val="false"/>
              </w:rPr>
              <w:t>9,303*10</w:t>
            </w:r>
            <w:r>
              <w:rPr>
                <w:b w:val="false"/>
                <w:bCs w:val="false"/>
                <w:vertAlign w:val="superscript"/>
              </w:rPr>
              <w:t>-9</w:t>
            </w:r>
          </w:p>
        </w:tc>
        <w:tc>
          <w:tcPr>
            <w:tcW w:w="879"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b w:val="false"/>
                <w:bCs w:val="false"/>
              </w:rPr>
            </w:pPr>
            <w:r>
              <w:rPr>
                <w:b w:val="false"/>
                <w:bCs w:val="false"/>
              </w:rPr>
              <w:t>98,948</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6</w:t>
      </w:r>
      <w:r>
        <w:rPr/>
        <w:fldChar w:fldCharType="end"/>
      </w:r>
      <w:r>
        <w:rPr/>
        <w:t>: Výpočet závislosti reaktance na napětí</w:t>
      </w:r>
    </w:p>
    <w:tbl>
      <w:tblPr>
        <w:tblW w:w="11125"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805"/>
        <w:gridCol w:w="545"/>
        <w:gridCol w:w="576"/>
        <w:gridCol w:w="641"/>
        <w:gridCol w:w="677"/>
        <w:gridCol w:w="675"/>
        <w:gridCol w:w="686"/>
        <w:gridCol w:w="689"/>
        <w:gridCol w:w="673"/>
        <w:gridCol w:w="388"/>
        <w:gridCol w:w="689"/>
        <w:gridCol w:w="674"/>
        <w:gridCol w:w="689"/>
        <w:gridCol w:w="675"/>
        <w:gridCol w:w="686"/>
        <w:gridCol w:w="679"/>
        <w:gridCol w:w="678"/>
      </w:tblGrid>
      <w:tr>
        <w:trPr/>
        <w:tc>
          <w:tcPr>
            <w:tcW w:w="805" w:type="dxa"/>
            <w:tcBorders>
              <w:top w:val="single" w:sz="12" w:space="0" w:color="000000"/>
              <w:left w:val="single" w:sz="12" w:space="0" w:color="000000"/>
              <w:bottom w:val="single" w:sz="4" w:space="0" w:color="000000"/>
              <w:right w:val="single" w:sz="4" w:space="0" w:color="000000"/>
            </w:tcBorders>
          </w:tcPr>
          <w:p>
            <w:pPr>
              <w:pStyle w:val="Normal"/>
              <w:spacing w:lineRule="auto" w:line="240" w:before="0" w:after="0"/>
              <w:jc w:val="center"/>
              <w:rPr/>
            </w:pPr>
            <w:r>
              <w:rPr>
                <w:b/>
                <w:bCs/>
              </w:rPr>
              <w:t>U (V)</w:t>
            </w:r>
          </w:p>
        </w:tc>
        <w:tc>
          <w:tcPr>
            <w:tcW w:w="545"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0</w:t>
            </w:r>
          </w:p>
        </w:tc>
        <w:tc>
          <w:tcPr>
            <w:tcW w:w="576"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0,5</w:t>
            </w:r>
          </w:p>
        </w:tc>
        <w:tc>
          <w:tcPr>
            <w:tcW w:w="641"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1</w:t>
            </w:r>
          </w:p>
        </w:tc>
        <w:tc>
          <w:tcPr>
            <w:tcW w:w="677"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1,5</w:t>
            </w:r>
          </w:p>
        </w:tc>
        <w:tc>
          <w:tcPr>
            <w:tcW w:w="675"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2</w:t>
            </w:r>
          </w:p>
        </w:tc>
        <w:tc>
          <w:tcPr>
            <w:tcW w:w="686"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2,5</w:t>
            </w:r>
          </w:p>
        </w:tc>
        <w:tc>
          <w:tcPr>
            <w:tcW w:w="68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3</w:t>
            </w:r>
          </w:p>
        </w:tc>
        <w:tc>
          <w:tcPr>
            <w:tcW w:w="673"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3,5</w:t>
            </w:r>
          </w:p>
        </w:tc>
        <w:tc>
          <w:tcPr>
            <w:tcW w:w="388"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4</w:t>
            </w:r>
          </w:p>
        </w:tc>
        <w:tc>
          <w:tcPr>
            <w:tcW w:w="68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4,5</w:t>
            </w:r>
          </w:p>
        </w:tc>
        <w:tc>
          <w:tcPr>
            <w:tcW w:w="674"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5</w:t>
            </w:r>
          </w:p>
        </w:tc>
        <w:tc>
          <w:tcPr>
            <w:tcW w:w="68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5,5</w:t>
            </w:r>
          </w:p>
        </w:tc>
        <w:tc>
          <w:tcPr>
            <w:tcW w:w="675"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6</w:t>
            </w:r>
          </w:p>
        </w:tc>
        <w:tc>
          <w:tcPr>
            <w:tcW w:w="686"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6,5</w:t>
            </w:r>
          </w:p>
        </w:tc>
        <w:tc>
          <w:tcPr>
            <w:tcW w:w="67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7</w:t>
            </w:r>
          </w:p>
        </w:tc>
        <w:tc>
          <w:tcPr>
            <w:tcW w:w="678" w:type="dxa"/>
            <w:tcBorders>
              <w:top w:val="single" w:sz="12" w:space="0" w:color="000000"/>
              <w:left w:val="single" w:sz="4" w:space="0" w:color="000000"/>
              <w:bottom w:val="single" w:sz="4" w:space="0" w:color="000000"/>
              <w:right w:val="single" w:sz="12" w:space="0" w:color="000000"/>
            </w:tcBorders>
          </w:tcPr>
          <w:p>
            <w:pPr>
              <w:pStyle w:val="Normal"/>
              <w:spacing w:lineRule="auto" w:line="240" w:before="0" w:after="0"/>
              <w:jc w:val="center"/>
              <w:rPr/>
            </w:pPr>
            <w:r>
              <w:rPr/>
              <w:t>7,5</w:t>
            </w:r>
          </w:p>
        </w:tc>
      </w:tr>
      <w:tr>
        <w:trPr/>
        <w:tc>
          <w:tcPr>
            <w:tcW w:w="805" w:type="dxa"/>
            <w:tcBorders>
              <w:top w:val="single" w:sz="4" w:space="0" w:color="000000"/>
              <w:left w:val="single" w:sz="12" w:space="0" w:color="000000"/>
              <w:bottom w:val="single" w:sz="12" w:space="0" w:color="000000"/>
              <w:right w:val="single" w:sz="4" w:space="0" w:color="000000"/>
            </w:tcBorders>
          </w:tcPr>
          <w:p>
            <w:pPr>
              <w:pStyle w:val="Normal"/>
              <w:spacing w:lineRule="auto" w:line="240" w:before="0" w:after="0"/>
              <w:jc w:val="center"/>
              <w:rPr/>
            </w:pPr>
            <w:r>
              <w:rPr>
                <w:b/>
              </w:rPr>
              <w:t>X</w:t>
            </w:r>
            <w:r>
              <w:rPr>
                <w:b/>
                <w:vertAlign w:val="subscript"/>
              </w:rPr>
              <w:t>C</w:t>
            </w:r>
            <w:r>
              <w:rPr>
                <w:b/>
              </w:rPr>
              <w:t xml:space="preserve"> (Ω)</w:t>
            </w:r>
          </w:p>
        </w:tc>
        <w:tc>
          <w:tcPr>
            <w:tcW w:w="545"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0</w:t>
            </w:r>
          </w:p>
        </w:tc>
        <w:tc>
          <w:tcPr>
            <w:tcW w:w="576"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25</w:t>
            </w:r>
          </w:p>
        </w:tc>
        <w:tc>
          <w:tcPr>
            <w:tcW w:w="641"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16,67</w:t>
            </w:r>
          </w:p>
        </w:tc>
        <w:tc>
          <w:tcPr>
            <w:tcW w:w="677"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16,67</w:t>
            </w:r>
          </w:p>
        </w:tc>
        <w:tc>
          <w:tcPr>
            <w:tcW w:w="675"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16,67</w:t>
            </w:r>
          </w:p>
        </w:tc>
        <w:tc>
          <w:tcPr>
            <w:tcW w:w="686"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15,63</w:t>
            </w:r>
          </w:p>
        </w:tc>
        <w:tc>
          <w:tcPr>
            <w:tcW w:w="68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16,79</w:t>
            </w:r>
          </w:p>
        </w:tc>
        <w:tc>
          <w:tcPr>
            <w:tcW w:w="673"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15,91</w:t>
            </w:r>
          </w:p>
        </w:tc>
        <w:tc>
          <w:tcPr>
            <w:tcW w:w="388"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16</w:t>
            </w:r>
          </w:p>
        </w:tc>
        <w:tc>
          <w:tcPr>
            <w:tcW w:w="68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15,52</w:t>
            </w:r>
          </w:p>
        </w:tc>
        <w:tc>
          <w:tcPr>
            <w:tcW w:w="674"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15,63</w:t>
            </w:r>
          </w:p>
        </w:tc>
        <w:tc>
          <w:tcPr>
            <w:tcW w:w="68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15,71</w:t>
            </w:r>
          </w:p>
        </w:tc>
        <w:tc>
          <w:tcPr>
            <w:tcW w:w="675"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15,79</w:t>
            </w:r>
          </w:p>
        </w:tc>
        <w:tc>
          <w:tcPr>
            <w:tcW w:w="686"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15,85</w:t>
            </w:r>
          </w:p>
        </w:tc>
        <w:tc>
          <w:tcPr>
            <w:tcW w:w="67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15,56</w:t>
            </w:r>
          </w:p>
        </w:tc>
        <w:tc>
          <w:tcPr>
            <w:tcW w:w="678" w:type="dxa"/>
            <w:tcBorders>
              <w:top w:val="single" w:sz="4" w:space="0" w:color="000000"/>
              <w:left w:val="single" w:sz="4" w:space="0" w:color="000000"/>
              <w:bottom w:val="single" w:sz="12" w:space="0" w:color="000000"/>
              <w:right w:val="single" w:sz="12" w:space="0" w:color="000000"/>
            </w:tcBorders>
          </w:tcPr>
          <w:p>
            <w:pPr>
              <w:pStyle w:val="Normal"/>
              <w:spacing w:lineRule="auto" w:line="240" w:before="0" w:after="0"/>
              <w:jc w:val="center"/>
              <w:rPr/>
            </w:pPr>
            <w:r>
              <w:rPr/>
              <w:t>15,63</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7</w:t>
      </w:r>
      <w:r>
        <w:rPr/>
        <w:fldChar w:fldCharType="end"/>
      </w:r>
      <w:r>
        <w:rPr/>
        <w:t>: Výpočet závislosti reaktance na kmitočtu</w:t>
      </w:r>
    </w:p>
    <w:tbl>
      <w:tblPr>
        <w:tblW w:w="9600"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811"/>
        <w:gridCol w:w="540"/>
        <w:gridCol w:w="581"/>
        <w:gridCol w:w="687"/>
        <w:gridCol w:w="565"/>
        <w:gridCol w:w="685"/>
        <w:gridCol w:w="675"/>
        <w:gridCol w:w="400"/>
        <w:gridCol w:w="675"/>
        <w:gridCol w:w="690"/>
        <w:gridCol w:w="675"/>
        <w:gridCol w:w="575"/>
        <w:gridCol w:w="673"/>
        <w:gridCol w:w="689"/>
        <w:gridCol w:w="679"/>
      </w:tblGrid>
      <w:tr>
        <w:trPr/>
        <w:tc>
          <w:tcPr>
            <w:tcW w:w="811" w:type="dxa"/>
            <w:tcBorders>
              <w:top w:val="single" w:sz="12" w:space="0" w:color="000000"/>
              <w:left w:val="single" w:sz="12" w:space="0" w:color="000000"/>
              <w:bottom w:val="single" w:sz="4" w:space="0" w:color="000000"/>
              <w:right w:val="single" w:sz="4" w:space="0" w:color="000000"/>
            </w:tcBorders>
          </w:tcPr>
          <w:p>
            <w:pPr>
              <w:pStyle w:val="Normal"/>
              <w:spacing w:lineRule="auto" w:line="240" w:before="0" w:after="0"/>
              <w:jc w:val="center"/>
              <w:rPr/>
            </w:pPr>
            <w:r>
              <w:rPr>
                <w:b/>
                <w:bCs/>
              </w:rPr>
              <w:t>f (Hz)</w:t>
            </w:r>
          </w:p>
        </w:tc>
        <w:tc>
          <w:tcPr>
            <w:tcW w:w="540"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20</w:t>
            </w:r>
          </w:p>
        </w:tc>
        <w:tc>
          <w:tcPr>
            <w:tcW w:w="581"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30</w:t>
            </w:r>
          </w:p>
        </w:tc>
        <w:tc>
          <w:tcPr>
            <w:tcW w:w="687"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40</w:t>
            </w:r>
          </w:p>
        </w:tc>
        <w:tc>
          <w:tcPr>
            <w:tcW w:w="565"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50</w:t>
            </w:r>
          </w:p>
        </w:tc>
        <w:tc>
          <w:tcPr>
            <w:tcW w:w="685"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60</w:t>
            </w:r>
          </w:p>
        </w:tc>
        <w:tc>
          <w:tcPr>
            <w:tcW w:w="675"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70</w:t>
            </w:r>
          </w:p>
        </w:tc>
        <w:tc>
          <w:tcPr>
            <w:tcW w:w="400"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80</w:t>
            </w:r>
          </w:p>
        </w:tc>
        <w:tc>
          <w:tcPr>
            <w:tcW w:w="675"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90</w:t>
            </w:r>
          </w:p>
        </w:tc>
        <w:tc>
          <w:tcPr>
            <w:tcW w:w="690"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100</w:t>
            </w:r>
          </w:p>
        </w:tc>
        <w:tc>
          <w:tcPr>
            <w:tcW w:w="675"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110</w:t>
            </w:r>
          </w:p>
        </w:tc>
        <w:tc>
          <w:tcPr>
            <w:tcW w:w="575"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120</w:t>
            </w:r>
          </w:p>
        </w:tc>
        <w:tc>
          <w:tcPr>
            <w:tcW w:w="673"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130</w:t>
            </w:r>
          </w:p>
        </w:tc>
        <w:tc>
          <w:tcPr>
            <w:tcW w:w="68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140</w:t>
            </w:r>
          </w:p>
        </w:tc>
        <w:tc>
          <w:tcPr>
            <w:tcW w:w="679" w:type="dxa"/>
            <w:tcBorders>
              <w:top w:val="single" w:sz="12" w:space="0" w:color="000000"/>
              <w:left w:val="single" w:sz="4" w:space="0" w:color="000000"/>
              <w:bottom w:val="single" w:sz="4" w:space="0" w:color="000000"/>
              <w:right w:val="single" w:sz="12" w:space="0" w:color="000000"/>
            </w:tcBorders>
          </w:tcPr>
          <w:p>
            <w:pPr>
              <w:pStyle w:val="Normal"/>
              <w:spacing w:lineRule="auto" w:line="240" w:before="0" w:after="0"/>
              <w:jc w:val="center"/>
              <w:rPr/>
            </w:pPr>
            <w:r>
              <w:rPr/>
              <w:t>150</w:t>
            </w:r>
          </w:p>
        </w:tc>
      </w:tr>
      <w:tr>
        <w:trPr/>
        <w:tc>
          <w:tcPr>
            <w:tcW w:w="811" w:type="dxa"/>
            <w:tcBorders>
              <w:top w:val="single" w:sz="4" w:space="0" w:color="000000"/>
              <w:left w:val="single" w:sz="12" w:space="0" w:color="000000"/>
              <w:bottom w:val="single" w:sz="12" w:space="0" w:color="000000"/>
              <w:right w:val="single" w:sz="4" w:space="0" w:color="000000"/>
            </w:tcBorders>
          </w:tcPr>
          <w:p>
            <w:pPr>
              <w:pStyle w:val="Normal"/>
              <w:spacing w:lineRule="auto" w:line="240" w:before="0" w:after="0"/>
              <w:jc w:val="center"/>
              <w:rPr/>
            </w:pPr>
            <w:r>
              <w:rPr>
                <w:b/>
              </w:rPr>
              <w:t>X</w:t>
            </w:r>
            <w:r>
              <w:rPr>
                <w:b/>
                <w:vertAlign w:val="subscript"/>
              </w:rPr>
              <w:t>C</w:t>
            </w:r>
            <w:r>
              <w:rPr>
                <w:b/>
              </w:rPr>
              <w:t xml:space="preserve"> (Ω)</w:t>
            </w:r>
          </w:p>
        </w:tc>
        <w:tc>
          <w:tcPr>
            <w:tcW w:w="540"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0</w:t>
            </w:r>
          </w:p>
        </w:tc>
        <w:tc>
          <w:tcPr>
            <w:tcW w:w="581"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400</w:t>
            </w:r>
          </w:p>
        </w:tc>
        <w:tc>
          <w:tcPr>
            <w:tcW w:w="687"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57,14</w:t>
            </w:r>
          </w:p>
        </w:tc>
        <w:tc>
          <w:tcPr>
            <w:tcW w:w="565"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36,4</w:t>
            </w:r>
          </w:p>
        </w:tc>
        <w:tc>
          <w:tcPr>
            <w:tcW w:w="685"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28,57</w:t>
            </w:r>
          </w:p>
        </w:tc>
        <w:tc>
          <w:tcPr>
            <w:tcW w:w="675"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23,53</w:t>
            </w:r>
          </w:p>
        </w:tc>
        <w:tc>
          <w:tcPr>
            <w:tcW w:w="400"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19</w:t>
            </w:r>
          </w:p>
        </w:tc>
        <w:tc>
          <w:tcPr>
            <w:tcW w:w="675"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16,67</w:t>
            </w:r>
          </w:p>
        </w:tc>
        <w:tc>
          <w:tcPr>
            <w:tcW w:w="690"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15,38</w:t>
            </w:r>
          </w:p>
        </w:tc>
        <w:tc>
          <w:tcPr>
            <w:tcW w:w="675"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14,29</w:t>
            </w:r>
          </w:p>
        </w:tc>
        <w:tc>
          <w:tcPr>
            <w:tcW w:w="575"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12,9</w:t>
            </w:r>
          </w:p>
        </w:tc>
        <w:tc>
          <w:tcPr>
            <w:tcW w:w="673"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12,12</w:t>
            </w:r>
          </w:p>
        </w:tc>
        <w:tc>
          <w:tcPr>
            <w:tcW w:w="68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11,11</w:t>
            </w:r>
          </w:p>
        </w:tc>
        <w:tc>
          <w:tcPr>
            <w:tcW w:w="679" w:type="dxa"/>
            <w:tcBorders>
              <w:top w:val="single" w:sz="4" w:space="0" w:color="000000"/>
              <w:left w:val="single" w:sz="4" w:space="0" w:color="000000"/>
              <w:bottom w:val="single" w:sz="12" w:space="0" w:color="000000"/>
              <w:right w:val="single" w:sz="12" w:space="0" w:color="000000"/>
            </w:tcBorders>
          </w:tcPr>
          <w:p>
            <w:pPr>
              <w:pStyle w:val="Normal"/>
              <w:spacing w:lineRule="auto" w:line="240" w:before="0" w:after="0"/>
              <w:jc w:val="center"/>
              <w:rPr/>
            </w:pPr>
            <w:r>
              <w:rPr/>
              <w:t>10,26</w:t>
            </w:r>
          </w:p>
        </w:tc>
      </w:tr>
    </w:tbl>
    <w:p>
      <w:pPr>
        <w:pStyle w:val="Normal"/>
        <w:jc w:val="center"/>
        <w:rPr/>
      </w:pPr>
      <w:r>
        <w:rPr/>
      </w:r>
    </w:p>
    <w:p>
      <w:pPr>
        <w:pStyle w:val="Heading2"/>
        <w:rPr/>
      </w:pPr>
      <w:r>
        <w:rPr/>
        <w:t>Grafické závislosti</w:t>
      </w:r>
    </w:p>
    <w:p>
      <w:pPr>
        <w:pStyle w:val="Normal"/>
        <w:keepNext w:val="true"/>
        <w:jc w:val="center"/>
        <w:rPr/>
      </w:pPr>
      <w:r>
        <w:rPr/>
        <w:drawing>
          <wp:inline distT="0" distB="0" distL="0" distR="0">
            <wp:extent cx="5328285" cy="3295650"/>
            <wp:effectExtent l="0" t="0" r="0" b="0"/>
            <wp:docPr id="2" name="Obrázek 0" descr="rastr_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0" descr="rastr_I(U).png"/>
                    <pic:cNvPicPr>
                      <a:picLocks noChangeAspect="1" noChangeArrowheads="1"/>
                    </pic:cNvPicPr>
                  </pic:nvPicPr>
                  <pic:blipFill>
                    <a:blip r:embed="rId3"/>
                    <a:stretch>
                      <a:fillRect/>
                    </a:stretch>
                  </pic:blipFill>
                  <pic:spPr bwMode="auto">
                    <a:xfrm>
                      <a:off x="0" y="0"/>
                      <a:ext cx="5328285" cy="329565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2</w:t>
      </w:r>
      <w:r>
        <w:rPr/>
        <w:fldChar w:fldCharType="end"/>
      </w:r>
      <w:r>
        <w:rPr/>
        <w:t xml:space="preserve">: </w:t>
      </w:r>
      <w:r>
        <w:rPr>
          <w:i/>
        </w:rPr>
        <w:t>I</w:t>
      </w:r>
      <w:r>
        <w:rPr/>
        <w:t xml:space="preserve"> = f(</w:t>
      </w:r>
      <w:r>
        <w:rPr>
          <w:i/>
        </w:rPr>
        <w:t>U</w:t>
      </w:r>
      <w:r>
        <w:rPr/>
        <w:t>) (index „n“ značí naměřenou hodnotu, index „v“ značí hodnotu vypočtenou ze jmenovité kapacity)</w:t>
      </w:r>
    </w:p>
    <w:p>
      <w:pPr>
        <w:pStyle w:val="Normal"/>
        <w:jc w:val="center"/>
        <w:rPr/>
      </w:pPr>
      <w:r>
        <w:rPr/>
      </w:r>
    </w:p>
    <w:p>
      <w:pPr>
        <w:pStyle w:val="Normal"/>
        <w:keepNext w:val="true"/>
        <w:jc w:val="center"/>
        <w:rPr/>
      </w:pPr>
      <w:r>
        <w:rPr/>
        <w:drawing>
          <wp:inline distT="0" distB="0" distL="0" distR="0">
            <wp:extent cx="5220970" cy="3228975"/>
            <wp:effectExtent l="0" t="0" r="0" b="0"/>
            <wp:docPr id="3" name="Obrázek 1" descr="rastr_X(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1" descr="rastr_X(U).png"/>
                    <pic:cNvPicPr>
                      <a:picLocks noChangeAspect="1" noChangeArrowheads="1"/>
                    </pic:cNvPicPr>
                  </pic:nvPicPr>
                  <pic:blipFill>
                    <a:blip r:embed="rId4"/>
                    <a:stretch>
                      <a:fillRect/>
                    </a:stretch>
                  </pic:blipFill>
                  <pic:spPr bwMode="auto">
                    <a:xfrm>
                      <a:off x="0" y="0"/>
                      <a:ext cx="5220970" cy="322897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3</w:t>
      </w:r>
      <w:r>
        <w:rPr/>
        <w:fldChar w:fldCharType="end"/>
      </w:r>
      <w:r>
        <w:rPr/>
        <w:t xml:space="preserve">: </w:t>
      </w:r>
      <w:r>
        <w:rPr>
          <w:i/>
        </w:rPr>
        <w:t>X</w:t>
      </w:r>
      <w:r>
        <w:rPr>
          <w:vertAlign w:val="subscript"/>
        </w:rPr>
        <w:t>C</w:t>
      </w:r>
      <w:r>
        <w:rPr/>
        <w:t xml:space="preserve"> = f(</w:t>
      </w:r>
      <w:r>
        <w:rPr>
          <w:i/>
        </w:rPr>
        <w:t>U</w:t>
      </w:r>
      <w:r>
        <w:rPr/>
        <w:t>) (index „n“ značí naměřenou hodnotu, index „v“ značí hodnotu vypočtenou ze jmenovité kapacity a kmitočtu)</w:t>
      </w:r>
    </w:p>
    <w:p>
      <w:pPr>
        <w:pStyle w:val="Normal"/>
        <w:jc w:val="center"/>
        <w:rPr/>
      </w:pPr>
      <w:r>
        <w:rPr/>
      </w:r>
    </w:p>
    <w:p>
      <w:pPr>
        <w:pStyle w:val="Normal"/>
        <w:keepNext w:val="true"/>
        <w:jc w:val="center"/>
        <w:rPr/>
      </w:pPr>
      <w:r>
        <w:rPr/>
        <w:drawing>
          <wp:inline distT="0" distB="0" distL="0" distR="0">
            <wp:extent cx="5760720" cy="3562985"/>
            <wp:effectExtent l="0" t="0" r="0" b="0"/>
            <wp:docPr id="4" name="Obrázek 2" descr="rastr_X(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2" descr="rastr_X(f).png"/>
                    <pic:cNvPicPr>
                      <a:picLocks noChangeAspect="1" noChangeArrowheads="1"/>
                    </pic:cNvPicPr>
                  </pic:nvPicPr>
                  <pic:blipFill>
                    <a:blip r:embed="rId5"/>
                    <a:stretch>
                      <a:fillRect/>
                    </a:stretch>
                  </pic:blipFill>
                  <pic:spPr bwMode="auto">
                    <a:xfrm>
                      <a:off x="0" y="0"/>
                      <a:ext cx="5760720" cy="356298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4</w:t>
      </w:r>
      <w:r>
        <w:rPr/>
        <w:fldChar w:fldCharType="end"/>
      </w:r>
      <w:r>
        <w:rPr/>
        <w:t xml:space="preserve">: </w:t>
      </w:r>
      <w:r>
        <w:rPr>
          <w:i/>
        </w:rPr>
        <w:t>X</w:t>
      </w:r>
      <w:r>
        <w:rPr>
          <w:vertAlign w:val="subscript"/>
        </w:rPr>
        <w:t>C</w:t>
      </w:r>
      <w:r>
        <w:rPr/>
        <w:t xml:space="preserve"> = f(</w:t>
      </w:r>
      <w:r>
        <w:rPr>
          <w:i/>
        </w:rPr>
        <w:t>f</w:t>
      </w:r>
      <w:r>
        <w:rPr/>
        <w:t>) (index „n“ značí naměřenou hodnotu, index „v“ značí hodnotu vypočtenou ze jmenovité kapacity a kmitočtu)</w:t>
      </w:r>
    </w:p>
    <w:p>
      <w:pPr>
        <w:pStyle w:val="Heading2"/>
        <w:rPr/>
      </w:pPr>
      <w:r>
        <w:rPr/>
        <w:t>Odpovědi na otázky</w:t>
      </w:r>
    </w:p>
    <w:p>
      <w:pPr>
        <w:pStyle w:val="ListParagraph"/>
        <w:numPr>
          <w:ilvl w:val="0"/>
          <w:numId w:val="4"/>
        </w:numPr>
        <w:rPr/>
      </w:pPr>
      <w:r>
        <w:rPr/>
        <w:t>Při překročení určité meze, kdy jsou síly, které působí na el. nabité částice atomu, větší než síly, které tyto částice udržují v hranici atomu, se izolant přiloženým napětím poruší, dochází k průrazu. Izolant se stává vodivým a začne jim procházet el. proud, který mech</w:t>
      </w:r>
      <w:r>
        <w:rPr/>
        <w:t>a</w:t>
      </w:r>
      <w:r>
        <w:rPr/>
        <w:t>nicky poškodí izolant. Pon</w:t>
      </w:r>
      <w:r>
        <w:rPr/>
        <w:t>i</w:t>
      </w:r>
      <w:r>
        <w:rPr/>
        <w:t>čený izolant následně má menší el. pevnost a snadněji se překročí mez.</w:t>
      </w:r>
    </w:p>
    <w:p>
      <w:pPr>
        <w:pStyle w:val="ListParagraph"/>
        <w:numPr>
          <w:ilvl w:val="0"/>
          <w:numId w:val="4"/>
        </w:numPr>
        <w:rPr/>
      </w:pPr>
      <w:r>
        <w:rPr/>
        <w:t>Dielektrika mají schopnost polarizace, naopak izolan</w:t>
      </w:r>
      <w:r>
        <w:rPr/>
        <w:t>t</w:t>
      </w:r>
      <w:r>
        <w:rPr/>
        <w:t>y ne.</w:t>
      </w:r>
    </w:p>
    <w:p>
      <w:pPr>
        <w:pStyle w:val="ListParagraph"/>
        <w:numPr>
          <w:ilvl w:val="0"/>
          <w:numId w:val="4"/>
        </w:numPr>
        <w:rPr/>
      </w:pPr>
      <w:r>
        <w:rPr/>
        <w:t>V silném el poli se izolant může stát vodivým a dojde k jeho průrazu.</w:t>
      </w:r>
    </w:p>
    <w:p>
      <w:pPr>
        <w:pStyle w:val="ListParagraph"/>
        <w:numPr>
          <w:ilvl w:val="0"/>
          <w:numId w:val="4"/>
        </w:numPr>
        <w:rPr/>
      </w:pPr>
      <w:r>
        <w:rPr/>
        <w:t>Linearita závislosti proudu kondenzátorem v závislosti na napětí závisí na kapacitě kondenzátoru, materiál dielektrika, na frekvenci, polaritě a teplotě.</w:t>
      </w:r>
    </w:p>
    <w:p>
      <w:pPr>
        <w:pStyle w:val="ListParagraph"/>
        <w:numPr>
          <w:ilvl w:val="0"/>
          <w:numId w:val="4"/>
        </w:numPr>
        <w:rPr/>
      </w:pPr>
      <w:r>
        <w:rPr/>
        <w:t>Dle typu: deskové (dnes nepoužívaný, vysokofrekvenční aplikace s velkým napětím a jakostí), válcové, kulové, svitkové; dle dielektrika: vzduchový, vakuový, plastový (spínané napájecí zdroje, HiFi reprosoustavy), papírový, elektrolytický (napájecí zdroje, studiové fotoblesky, základní desky (okolo CPU)), keramický (SMD), kapacitní, slídový; proměnný (rádia, oscilátory, zesilovače)</w:t>
      </w:r>
    </w:p>
    <w:p>
      <w:pPr>
        <w:pStyle w:val="ListParagraph"/>
        <w:numPr>
          <w:ilvl w:val="0"/>
          <w:numId w:val="4"/>
        </w:numPr>
        <w:rPr/>
      </w:pPr>
      <w:r>
        <w:rPr/>
        <w:t>U kapacitní diody se kapacita mění v závislosti na napětí. Dioda se využívá v integrovaných obvodech.</w:t>
      </w:r>
    </w:p>
    <w:p>
      <w:pPr>
        <w:pStyle w:val="ListParagraph"/>
        <w:numPr>
          <w:ilvl w:val="0"/>
          <w:numId w:val="4"/>
        </w:numPr>
        <w:rPr/>
      </w:pPr>
      <w:r>
        <w:rPr/>
        <w:t>Odchylky vznikly v závislosti chybě měření, kdy jsem i přes provedenou domácí přípravu n</w:t>
      </w:r>
      <w:r>
        <w:rPr/>
        <w:t>e</w:t>
      </w:r>
      <w:r>
        <w:rPr/>
        <w:t xml:space="preserve">věděl jak měřit, </w:t>
      </w:r>
      <w:r>
        <w:rPr/>
        <w:t>neboť</w:t>
      </w:r>
      <w:r>
        <w:rPr/>
        <w:t xml:space="preserve"> jsem neuměl přesně ovládat použité vybavení.</w:t>
      </w:r>
    </w:p>
    <w:p>
      <w:pPr>
        <w:pStyle w:val="ListParagraph"/>
        <w:numPr>
          <w:ilvl w:val="0"/>
          <w:numId w:val="4"/>
        </w:numPr>
        <w:rPr/>
      </w:pPr>
      <w:r>
        <w:rPr/>
        <w:t>Elektrolytické kondenzátory jsou vyráběny chem. procesem formování. Povrch elektrod disponuje rozsáhlou plochou, která vzniká nepravidelně leptanou strukturou kovu. Na této ploše je nanesena velmi tenká dielektrická vrstva. Katoda je tvořena vodivým elektrolytem, který může být tekutý, polosuchý nebo pevný.; Výhody: velká kapacita, nízká cena, malé rozměry. Nevýhody: vysoký ztrátový odpor, krátká životnost za vyšších teplot, jsou p</w:t>
      </w:r>
      <w:r>
        <w:rPr/>
        <w:t>o</w:t>
      </w:r>
      <w:r>
        <w:rPr/>
        <w:t>larizované; Použití: napájecí zdroje, studiové fotoblesky, SMD</w:t>
      </w:r>
    </w:p>
    <w:p>
      <w:pPr>
        <w:pStyle w:val="ListParagraph"/>
        <w:numPr>
          <w:ilvl w:val="0"/>
          <w:numId w:val="4"/>
        </w:numPr>
        <w:rPr/>
      </w:pPr>
      <w:r>
        <w:rPr/>
        <w:t>Celkový elektrostatický proud vyt</w:t>
      </w:r>
      <w:r>
        <w:rPr/>
        <w:t>é</w:t>
      </w:r>
      <w:r>
        <w:rPr/>
        <w:t>kající z libovolného uzlu je roven nule.</w:t>
      </w:r>
    </w:p>
    <w:p>
      <w:pPr>
        <w:pStyle w:val="ListParagraph"/>
        <w:numPr>
          <w:ilvl w:val="0"/>
          <w:numId w:val="4"/>
        </w:numPr>
        <w:rPr/>
      </w:pPr>
      <w:r>
        <w:rPr/>
        <w:t xml:space="preserve">Elektrická pevnost - intenzita el. pole přerušující průrazné napěti; </w:t>
      </w:r>
      <w:r>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p</m:t>
                </m:r>
              </m:sub>
            </m:sSub>
          </m:num>
          <m:den>
            <m:r>
              <w:rPr>
                <w:rFonts w:ascii="Cambria Math" w:hAnsi="Cambria Math"/>
              </w:rPr>
              <m:t xml:space="preserve">d</m:t>
            </m:r>
          </m:den>
        </m:f>
      </m:oMath>
      <w:r>
        <w:rPr/>
        <w:t xml:space="preserve"> kde </w:t>
      </w:r>
      <w:r>
        <w:rPr/>
      </w:r>
      <m:oMath xmlns:m="http://schemas.openxmlformats.org/officeDocument/2006/math">
        <m:sSub>
          <m:e>
            <m:r>
              <w:rPr>
                <w:rFonts w:ascii="Cambria Math" w:hAnsi="Cambria Math"/>
              </w:rPr>
              <m:t xml:space="preserve">U</m:t>
            </m:r>
          </m:e>
          <m:sub>
            <m:r>
              <w:rPr>
                <w:rFonts w:ascii="Cambria Math" w:hAnsi="Cambria Math"/>
              </w:rPr>
              <m:t xml:space="preserve">p</m:t>
            </m:r>
          </m:sub>
        </m:sSub>
      </m:oMath>
      <w:r>
        <w:rPr/>
        <w:t xml:space="preserve"> je hodnota průrazného napětí a </w:t>
      </w:r>
      <w:r>
        <w:rPr/>
      </w:r>
      <m:oMath xmlns:m="http://schemas.openxmlformats.org/officeDocument/2006/math">
        <m:r>
          <w:rPr>
            <w:rFonts w:ascii="Cambria Math" w:hAnsi="Cambria Math"/>
          </w:rPr>
          <m:t xml:space="preserve">d</m:t>
        </m:r>
      </m:oMath>
      <w:r>
        <w:rPr/>
        <w:t xml:space="preserve"> je tloušťka izolantu. Při přesáhnutí pevnosti nastane průraz (pevné diel.) nebo přeskok (kapalné či plynné diel.) vznikající nárazovou ionizací atomů izolantu.</w:t>
      </w:r>
    </w:p>
    <w:p>
      <w:pPr>
        <w:pStyle w:val="ListParagraph"/>
        <w:numPr>
          <w:ilvl w:val="0"/>
          <w:numId w:val="4"/>
        </w:numPr>
        <w:rPr/>
      </w:pPr>
      <w:r>
        <w:rPr/>
        <w:t>Konstruované s důrazem na extrémně nízké vnitřní ztráty, práci s vysokým napětím a proudem při vysokých frekvencích. Důležité je dobře odvádět teplo.</w:t>
      </w:r>
    </w:p>
    <w:p>
      <w:pPr>
        <w:pStyle w:val="Normal"/>
        <w:rPr/>
      </w:pPr>
      <w:r>
        <w:rPr/>
      </w:r>
    </w:p>
    <w:p>
      <w:pPr>
        <w:pStyle w:val="Normal"/>
        <w:rPr/>
      </w:pPr>
      <w:r>
        <w:rPr/>
      </w:r>
    </w:p>
    <w:p>
      <w:pPr>
        <w:pStyle w:val="Heading2"/>
        <w:rPr/>
      </w:pPr>
      <w:r>
        <w:rPr/>
        <w:t>Závěr</w:t>
      </w:r>
    </w:p>
    <w:p>
      <w:pPr>
        <w:pStyle w:val="Normal"/>
        <w:rPr/>
      </w:pPr>
      <w:r>
        <w:rPr/>
        <w:t>Při měření jednotlivých kapacitorů vyšla chyba 0, tudíž kapacitory měli jmenovité hodnoty stejné jako na obalu. Taktéž sériová kombinace vyšla s malou chybou, což lze odůvodnit neperfektními podmínkami (rezistivita vodičů, chyba měřících přístrojů aj.) Při měření kapacitorů paralelně došlo k selhání z důvodu nečekaného vlivu elektromagnetického rušení v laboratoři. Během experimentu byl generován silný elektromagnetický šum, který ovlivnil přesnost měření.</w:t>
      </w:r>
    </w:p>
    <w:p>
      <w:pPr>
        <w:pStyle w:val="Heading2"/>
        <w:rPr/>
      </w:pPr>
      <w:r>
        <w:rPr/>
        <w:t>Informační prameny použité pro zpracování protokolu</w:t>
      </w:r>
    </w:p>
    <w:p>
      <w:pPr>
        <w:pStyle w:val="ListParagraph"/>
        <w:numPr>
          <w:ilvl w:val="0"/>
          <w:numId w:val="5"/>
        </w:numPr>
        <w:rPr/>
      </w:pPr>
      <w:r>
        <w:rPr/>
        <w:t>Antonín Blahovec - Elektrotechnika I</w:t>
      </w:r>
    </w:p>
    <w:p>
      <w:pPr>
        <w:pStyle w:val="ListParagraph"/>
        <w:numPr>
          <w:ilvl w:val="0"/>
          <w:numId w:val="5"/>
        </w:numPr>
        <w:rPr/>
      </w:pPr>
      <w:r>
        <w:rPr/>
        <w:t>https://publi.cz/books/353/06.html</w:t>
      </w:r>
    </w:p>
    <w:p>
      <w:pPr>
        <w:pStyle w:val="ListParagraph"/>
        <w:numPr>
          <w:ilvl w:val="0"/>
          <w:numId w:val="5"/>
        </w:numPr>
        <w:rPr/>
      </w:pPr>
      <w:r>
        <w:rPr/>
        <w:t>https://cs.wikipedia.org/wiki/Kondenzátor</w:t>
      </w:r>
    </w:p>
    <w:p>
      <w:pPr>
        <w:pStyle w:val="ListParagraph"/>
        <w:numPr>
          <w:ilvl w:val="0"/>
          <w:numId w:val="5"/>
        </w:numPr>
        <w:rPr/>
      </w:pPr>
      <w:r>
        <w:rPr/>
        <w:t>https://cs.wikipedia.org/wiki/Kapacitní_dioda</w:t>
      </w:r>
    </w:p>
    <w:p>
      <w:pPr>
        <w:pStyle w:val="ListParagraph"/>
        <w:numPr>
          <w:ilvl w:val="0"/>
          <w:numId w:val="5"/>
        </w:numPr>
        <w:rPr/>
      </w:pPr>
      <w:r>
        <w:rPr/>
        <w:t>https://elektrika.cz/terminolog/eterminolog2definition.2006-04-22.5895106704</w:t>
      </w:r>
    </w:p>
    <w:p>
      <w:pPr>
        <w:pStyle w:val="ListParagraph"/>
        <w:numPr>
          <w:ilvl w:val="0"/>
          <w:numId w:val="5"/>
        </w:numPr>
        <w:rPr/>
      </w:pPr>
      <w:r>
        <w:rPr/>
        <w:t>https://www.es-ostrava.cz/pdf/indukcni_ohrev_17_02_09.pdf</w:t>
      </w:r>
    </w:p>
    <w:p>
      <w:pPr>
        <w:pStyle w:val="ListParagraph"/>
        <w:numPr>
          <w:ilvl w:val="0"/>
          <w:numId w:val="5"/>
        </w:numPr>
        <w:rPr/>
      </w:pPr>
      <w:r>
        <w:rPr/>
        <w:t>https://physics.mff.cuni.cz/kfpp/skripta/kurz_fyziky_pro_DS/display.php/elmag/3_2</w:t>
      </w:r>
    </w:p>
    <w:p>
      <w:pPr>
        <w:pStyle w:val="ListParagraph"/>
        <w:numPr>
          <w:ilvl w:val="0"/>
          <w:numId w:val="5"/>
        </w:numPr>
        <w:rPr/>
      </w:pPr>
      <w:r>
        <w:rPr/>
        <w:t>https://cz.mouser.com/c/ds/passive-components/capacitors/ceramic-capacitors</w:t>
      </w:r>
    </w:p>
    <w:p>
      <w:pPr>
        <w:pStyle w:val="ListParagraph"/>
        <w:numPr>
          <w:ilvl w:val="0"/>
          <w:numId w:val="5"/>
        </w:numPr>
        <w:rPr/>
      </w:pPr>
      <w:r>
        <w:rPr/>
        <w:t>https://www.svetsoucastek.cz/kondenzatory-c351/</w:t>
      </w:r>
    </w:p>
    <w:p>
      <w:pPr>
        <w:pStyle w:val="Normal"/>
        <w:rPr/>
      </w:pPr>
      <w:r>
        <w:rPr/>
      </w:r>
    </w:p>
    <w:p>
      <w:pPr>
        <w:pStyle w:val="Normal"/>
        <w:rPr/>
      </w:pPr>
      <w:r>
        <w:rPr/>
      </w:r>
    </w:p>
    <w:p>
      <w:pPr>
        <w:pStyle w:val="Normal"/>
        <w:rPr/>
      </w:pPr>
      <w:r>
        <w:rPr/>
        <w:t xml:space="preserve"> </w:t>
      </w:r>
    </w:p>
    <w:tbl>
      <w:tblPr>
        <w:tblpPr w:vertAnchor="text" w:horzAnchor="margin" w:leftFromText="141" w:rightFromText="141" w:tblpX="0" w:tblpY="2"/>
        <w:tblW w:w="921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2373"/>
        <w:gridCol w:w="6838"/>
      </w:tblGrid>
      <w:tr>
        <w:trPr>
          <w:trHeight w:val="529" w:hRule="atLeast"/>
        </w:trPr>
        <w:tc>
          <w:tcPr>
            <w:tcW w:w="2373" w:type="dxa"/>
            <w:tcBorders>
              <w:top w:val="single" w:sz="24" w:space="0" w:color="000000"/>
              <w:left w:val="single" w:sz="24" w:space="0" w:color="000000"/>
              <w:bottom w:val="single" w:sz="6" w:space="0" w:color="000000"/>
              <w:right w:val="single" w:sz="6" w:space="0" w:color="000000"/>
            </w:tcBorders>
          </w:tcPr>
          <w:p>
            <w:pPr>
              <w:pStyle w:val="Normal"/>
              <w:spacing w:lineRule="auto" w:line="240" w:before="0" w:after="200"/>
              <w:rPr>
                <w:b/>
                <w:sz w:val="20"/>
                <w:szCs w:val="20"/>
              </w:rPr>
            </w:pPr>
            <w:r>
              <w:rPr>
                <w:b/>
                <w:sz w:val="20"/>
                <w:szCs w:val="20"/>
              </w:rPr>
              <w:t>Datum vypracování:</w:t>
            </w:r>
          </w:p>
        </w:tc>
        <w:tc>
          <w:tcPr>
            <w:tcW w:w="6838" w:type="dxa"/>
            <w:tcBorders>
              <w:top w:val="single" w:sz="24"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t>9. února 2024</w:t>
            </w:r>
          </w:p>
        </w:tc>
      </w:tr>
      <w:tr>
        <w:trPr>
          <w:trHeight w:val="656" w:hRule="atLeast"/>
          <w:cantSplit w:val="true"/>
        </w:trPr>
        <w:tc>
          <w:tcPr>
            <w:tcW w:w="2373" w:type="dxa"/>
            <w:vMerge w:val="restart"/>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t>Čestné prohlášení:</w:t>
            </w:r>
          </w:p>
        </w:tc>
        <w:tc>
          <w:tcPr>
            <w:tcW w:w="6838" w:type="dxa"/>
            <w:tcBorders>
              <w:top w:val="single" w:sz="6"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t>Prohlašuji, že jsem protokol zpracoval samostatně, veškeré použité prameny jsem uvedl ve stati „Informační prameny použité pro zpracování protokolu“.</w:t>
            </w:r>
          </w:p>
        </w:tc>
      </w:tr>
      <w:tr>
        <w:trPr>
          <w:trHeight w:val="850" w:hRule="atLeast"/>
          <w:cantSplit w:val="true"/>
        </w:trPr>
        <w:tc>
          <w:tcPr>
            <w:tcW w:w="2373" w:type="dxa"/>
            <w:vMerge w:val="continue"/>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r>
          </w:p>
        </w:tc>
        <w:tc>
          <w:tcPr>
            <w:tcW w:w="6838" w:type="dxa"/>
            <w:tcBorders>
              <w:top w:val="single" w:sz="6" w:space="0" w:color="000000"/>
              <w:left w:val="single" w:sz="6" w:space="0" w:color="000000"/>
              <w:bottom w:val="single" w:sz="24" w:space="0" w:color="000000"/>
              <w:right w:val="single" w:sz="24" w:space="0" w:color="000000"/>
            </w:tcBorders>
          </w:tcPr>
          <w:p>
            <w:pPr>
              <w:pStyle w:val="Normal"/>
              <w:spacing w:lineRule="auto" w:line="240" w:before="0" w:after="200"/>
              <w:rPr>
                <w:b/>
                <w:sz w:val="20"/>
                <w:szCs w:val="20"/>
              </w:rPr>
            </w:pPr>
            <w:r>
              <w:rPr>
                <w:b/>
                <w:sz w:val="20"/>
                <w:szCs w:val="20"/>
              </w:rPr>
              <w:t xml:space="preserve">Podpis studenta: </w:t>
              <mc:AlternateContent>
                <mc:Choice Requires="wpg">
                  <w:drawing>
                    <wp:anchor behindDoc="0" distT="0" distB="1270" distL="0" distR="0" simplePos="0" locked="0" layoutInCell="0" allowOverlap="1" relativeHeight="26">
                      <wp:simplePos x="0" y="0"/>
                      <wp:positionH relativeFrom="column">
                        <wp:posOffset>962025</wp:posOffset>
                      </wp:positionH>
                      <wp:positionV relativeFrom="paragraph">
                        <wp:posOffset>-15240</wp:posOffset>
                      </wp:positionV>
                      <wp:extent cx="1971040" cy="490220"/>
                      <wp:effectExtent l="9525" t="9525" r="9525" b="9525"/>
                      <wp:wrapSquare wrapText="left"/>
                      <wp:docPr id="5" name="DrawObject 1"/>
                      <a:graphic xmlns:a="http://schemas.openxmlformats.org/drawingml/2006/main">
                        <a:graphicData uri="http://schemas.microsoft.com/office/word/2010/wordprocessingGroup">
                          <wpg:wgp>
                            <wpg:cNvGrpSpPr/>
                            <wpg:grpSpPr>
                              <a:xfrm>
                                <a:off x="0" y="0"/>
                                <a:ext cx="1971000" cy="490320"/>
                                <a:chOff x="0" y="0"/>
                                <a:chExt cx="1971000" cy="490320"/>
                              </a:xfrm>
                            </wpg:grpSpPr>
                            <wps:wsp>
                              <wps:cNvPr id="6" name=""/>
                              <wps:cNvSpPr/>
                              <wps:spPr>
                                <a:xfrm>
                                  <a:off x="708120" y="124560"/>
                                  <a:ext cx="186840" cy="25920"/>
                                </a:xfrm>
                                <a:custGeom>
                                  <a:avLst/>
                                  <a:gdLst>
                                    <a:gd name="textAreaLeft" fmla="*/ 0 w 105840"/>
                                    <a:gd name="textAreaRight" fmla="*/ 106920 w 105840"/>
                                    <a:gd name="textAreaTop" fmla="*/ 0 h 14760"/>
                                    <a:gd name="textAreaBottom" fmla="*/ 15840 h 14760"/>
                                  </a:gdLst>
                                  <a:ahLst/>
                                  <a:rect l="textAreaLeft" t="textAreaTop" r="textAreaRight" b="textAreaBottom"/>
                                  <a:pathLst>
                                    <a:path fill="none" w="524" h="78">
                                      <a:moveTo>
                                        <a:pt x="0" y="78"/>
                                      </a:moveTo>
                                      <a:lnTo>
                                        <a:pt x="366" y="51"/>
                                      </a:lnTo>
                                      <a:lnTo>
                                        <a:pt x="524" y="0"/>
                                      </a:lnTo>
                                    </a:path>
                                  </a:pathLst>
                                </a:custGeom>
                                <a:noFill/>
                                <a:ln w="18360">
                                  <a:solidFill>
                                    <a:srgbClr val="00a0fc"/>
                                  </a:solidFill>
                                  <a:round/>
                                </a:ln>
                              </wps:spPr>
                              <wps:style>
                                <a:lnRef idx="0"/>
                                <a:fillRef idx="0"/>
                                <a:effectRef idx="0"/>
                                <a:fontRef idx="minor"/>
                              </wps:style>
                              <wps:bodyPr/>
                            </wps:wsp>
                            <wpg:grpSp>
                              <wpg:cNvGrpSpPr/>
                              <wpg:grpSpPr>
                                <a:xfrm>
                                  <a:off x="0" y="0"/>
                                  <a:ext cx="1971000" cy="490320"/>
                                </a:xfrm>
                              </wpg:grpSpPr>
                              <wps:wsp>
                                <wps:cNvPr id="7" name=""/>
                                <wps:cNvSpPr/>
                                <wps:spPr>
                                  <a:xfrm>
                                    <a:off x="0" y="9360"/>
                                    <a:ext cx="497880" cy="407160"/>
                                  </a:xfrm>
                                  <a:custGeom>
                                    <a:avLst/>
                                    <a:gdLst>
                                      <a:gd name="textAreaLeft" fmla="*/ 0 w 282240"/>
                                      <a:gd name="textAreaRight" fmla="*/ 283320 w 282240"/>
                                      <a:gd name="textAreaTop" fmla="*/ 0 h 230760"/>
                                      <a:gd name="textAreaBottom" fmla="*/ 231840 h 230760"/>
                                    </a:gdLst>
                                    <a:ahLst/>
                                    <a:rect l="textAreaLeft" t="textAreaTop" r="textAreaRight" b="textAreaBottom"/>
                                    <a:pathLst>
                                      <a:path fill="none" w="1388" h="1131">
                                        <a:moveTo>
                                          <a:pt x="1" y="550"/>
                                        </a:moveTo>
                                        <a:cubicBezTo>
                                          <a:pt x="371" y="-351"/>
                                          <a:pt x="163" y="607"/>
                                          <a:pt x="290" y="890"/>
                                        </a:cubicBezTo>
                                        <a:cubicBezTo>
                                          <a:pt x="595" y="1571"/>
                                          <a:pt x="897" y="612"/>
                                          <a:pt x="787" y="367"/>
                                        </a:cubicBezTo>
                                        <a:lnTo>
                                          <a:pt x="1154" y="157"/>
                                        </a:lnTo>
                                        <a:lnTo>
                                          <a:pt x="1389" y="0"/>
                                        </a:lnTo>
                                      </a:path>
                                    </a:pathLst>
                                  </a:custGeom>
                                  <a:noFill/>
                                  <a:ln w="18360">
                                    <a:solidFill>
                                      <a:srgbClr val="00a0fc"/>
                                    </a:solidFill>
                                    <a:round/>
                                  </a:ln>
                                </wps:spPr>
                                <wps:style>
                                  <a:lnRef idx="0"/>
                                  <a:fillRef idx="0"/>
                                  <a:effectRef idx="0"/>
                                  <a:fontRef idx="minor"/>
                                </wps:style>
                                <wps:bodyPr/>
                              </wps:wsp>
                              <wps:wsp>
                                <wps:cNvPr id="8" name=""/>
                                <wps:cNvSpPr/>
                                <wps:spPr>
                                  <a:xfrm>
                                    <a:off x="329040" y="254160"/>
                                    <a:ext cx="159480" cy="179640"/>
                                  </a:xfrm>
                                  <a:custGeom>
                                    <a:avLst/>
                                    <a:gdLst>
                                      <a:gd name="textAreaLeft" fmla="*/ 0 w 90360"/>
                                      <a:gd name="textAreaRight" fmla="*/ 91440 w 90360"/>
                                      <a:gd name="textAreaTop" fmla="*/ 0 h 101880"/>
                                      <a:gd name="textAreaBottom" fmla="*/ 102960 h 101880"/>
                                    </a:gdLst>
                                    <a:ahLst/>
                                    <a:rect l="textAreaLeft" t="textAreaTop" r="textAreaRight" b="textAreaBottom"/>
                                    <a:pathLst>
                                      <a:path fill="none" w="448" h="504">
                                        <a:moveTo>
                                          <a:pt x="371" y="59"/>
                                        </a:moveTo>
                                        <a:cubicBezTo>
                                          <a:pt x="-79" y="-251"/>
                                          <a:pt x="-146" y="772"/>
                                          <a:pt x="318" y="347"/>
                                        </a:cubicBezTo>
                                        <a:lnTo>
                                          <a:pt x="448" y="504"/>
                                        </a:lnTo>
                                      </a:path>
                                    </a:pathLst>
                                  </a:custGeom>
                                  <a:noFill/>
                                  <a:ln w="18360">
                                    <a:solidFill>
                                      <a:srgbClr val="00a0fc"/>
                                    </a:solidFill>
                                    <a:round/>
                                  </a:ln>
                                </wps:spPr>
                                <wps:style>
                                  <a:lnRef idx="0"/>
                                  <a:fillRef idx="0"/>
                                  <a:effectRef idx="0"/>
                                  <a:fontRef idx="minor"/>
                                </wps:style>
                                <wps:bodyPr/>
                              </wps:wsp>
                              <wps:wsp>
                                <wps:cNvPr id="9" name=""/>
                                <wps:cNvSpPr/>
                                <wps:spPr>
                                  <a:xfrm>
                                    <a:off x="537840" y="275760"/>
                                    <a:ext cx="130320" cy="186840"/>
                                  </a:xfrm>
                                  <a:custGeom>
                                    <a:avLst/>
                                    <a:gdLst>
                                      <a:gd name="textAreaLeft" fmla="*/ 0 w 73800"/>
                                      <a:gd name="textAreaRight" fmla="*/ 74880 w 73800"/>
                                      <a:gd name="textAreaTop" fmla="*/ 0 h 105840"/>
                                      <a:gd name="textAreaBottom" fmla="*/ 106920 h 105840"/>
                                    </a:gdLst>
                                    <a:ahLst/>
                                    <a:rect l="textAreaLeft" t="textAreaTop" r="textAreaRight" b="textAreaBottom"/>
                                    <a:pathLst>
                                      <a:path fill="none" w="367" h="524">
                                        <a:moveTo>
                                          <a:pt x="368" y="-1"/>
                                        </a:moveTo>
                                        <a:cubicBezTo>
                                          <a:pt x="-421" y="-23"/>
                                          <a:pt x="865" y="541"/>
                                          <a:pt x="27" y="523"/>
                                        </a:cubicBezTo>
                                        <a:lnTo>
                                          <a:pt x="1" y="470"/>
                                        </a:lnTo>
                                      </a:path>
                                    </a:pathLst>
                                  </a:custGeom>
                                  <a:noFill/>
                                  <a:ln w="18360">
                                    <a:solidFill>
                                      <a:srgbClr val="00a0fc"/>
                                    </a:solidFill>
                                    <a:round/>
                                  </a:ln>
                                </wps:spPr>
                                <wps:style>
                                  <a:lnRef idx="0"/>
                                  <a:fillRef idx="0"/>
                                  <a:effectRef idx="0"/>
                                  <a:fontRef idx="minor"/>
                                </wps:style>
                                <wps:bodyPr/>
                              </wps:wsp>
                              <wps:wsp>
                                <wps:cNvPr id="10" name=""/>
                                <wps:cNvSpPr/>
                                <wps:spPr>
                                  <a:xfrm>
                                    <a:off x="694080" y="330120"/>
                                    <a:ext cx="246960" cy="160200"/>
                                  </a:xfrm>
                                  <a:custGeom>
                                    <a:avLst/>
                                    <a:gdLst>
                                      <a:gd name="textAreaLeft" fmla="*/ 0 w 140040"/>
                                      <a:gd name="textAreaRight" fmla="*/ 141120 w 140040"/>
                                      <a:gd name="textAreaTop" fmla="*/ 0 h 90720"/>
                                      <a:gd name="textAreaBottom" fmla="*/ 91800 h 90720"/>
                                    </a:gdLst>
                                    <a:ahLst/>
                                    <a:rect l="textAreaLeft" t="textAreaTop" r="textAreaRight" b="textAreaBottom"/>
                                    <a:pathLst>
                                      <a:path fill="none" w="691" h="450">
                                        <a:moveTo>
                                          <a:pt x="142" y="84"/>
                                        </a:moveTo>
                                        <a:cubicBezTo>
                                          <a:pt x="930" y="170"/>
                                          <a:pt x="-280" y="-274"/>
                                          <a:pt x="64" y="292"/>
                                        </a:cubicBezTo>
                                        <a:lnTo>
                                          <a:pt x="378" y="449"/>
                                        </a:lnTo>
                                        <a:lnTo>
                                          <a:pt x="666" y="318"/>
                                        </a:lnTo>
                                        <a:lnTo>
                                          <a:pt x="692" y="318"/>
                                        </a:lnTo>
                                      </a:path>
                                    </a:pathLst>
                                  </a:custGeom>
                                  <a:noFill/>
                                  <a:ln w="18360">
                                    <a:solidFill>
                                      <a:srgbClr val="00a0fc"/>
                                    </a:solidFill>
                                    <a:round/>
                                  </a:ln>
                                </wps:spPr>
                                <wps:style>
                                  <a:lnRef idx="0"/>
                                  <a:fillRef idx="0"/>
                                  <a:effectRef idx="0"/>
                                  <a:fontRef idx="minor"/>
                                </wps:style>
                                <wps:bodyPr/>
                              </wps:wsp>
                              <wps:wsp>
                                <wps:cNvPr id="11" name=""/>
                                <wps:cNvSpPr/>
                                <wps:spPr>
                                  <a:xfrm>
                                    <a:off x="963360" y="141480"/>
                                    <a:ext cx="216000" cy="300240"/>
                                  </a:xfrm>
                                  <a:custGeom>
                                    <a:avLst/>
                                    <a:gdLst>
                                      <a:gd name="textAreaLeft" fmla="*/ 0 w 122400"/>
                                      <a:gd name="textAreaRight" fmla="*/ 123480 w 122400"/>
                                      <a:gd name="textAreaTop" fmla="*/ 0 h 170280"/>
                                      <a:gd name="textAreaBottom" fmla="*/ 171360 h 170280"/>
                                    </a:gdLst>
                                    <a:ahLst/>
                                    <a:rect l="textAreaLeft" t="textAreaTop" r="textAreaRight" b="textAreaBottom"/>
                                    <a:pathLst>
                                      <a:path fill="none" w="600" h="834">
                                        <a:moveTo>
                                          <a:pt x="101" y="0"/>
                                        </a:moveTo>
                                        <a:cubicBezTo>
                                          <a:pt x="62" y="275"/>
                                          <a:pt x="-215" y="1358"/>
                                          <a:pt x="364" y="523"/>
                                        </a:cubicBezTo>
                                        <a:lnTo>
                                          <a:pt x="521" y="786"/>
                                        </a:lnTo>
                                        <a:lnTo>
                                          <a:pt x="600" y="811"/>
                                        </a:lnTo>
                                      </a:path>
                                    </a:pathLst>
                                  </a:custGeom>
                                  <a:noFill/>
                                  <a:ln w="18360">
                                    <a:solidFill>
                                      <a:srgbClr val="00a0fc"/>
                                    </a:solidFill>
                                    <a:round/>
                                  </a:ln>
                                </wps:spPr>
                                <wps:style>
                                  <a:lnRef idx="0"/>
                                  <a:fillRef idx="0"/>
                                  <a:effectRef idx="0"/>
                                  <a:fontRef idx="minor"/>
                                </wps:style>
                                <wps:bodyPr/>
                              </wps:wsp>
                              <wps:wsp>
                                <wps:cNvPr id="12" name=""/>
                                <wps:cNvSpPr/>
                                <wps:spPr>
                                  <a:xfrm>
                                    <a:off x="1416600" y="0"/>
                                    <a:ext cx="554400" cy="462960"/>
                                  </a:xfrm>
                                  <a:custGeom>
                                    <a:avLst/>
                                    <a:gdLst>
                                      <a:gd name="textAreaLeft" fmla="*/ 0 w 314280"/>
                                      <a:gd name="textAreaRight" fmla="*/ 315360 w 314280"/>
                                      <a:gd name="textAreaTop" fmla="*/ 0 h 262440"/>
                                      <a:gd name="textAreaBottom" fmla="*/ 263520 h 262440"/>
                                    </a:gdLst>
                                    <a:ahLst/>
                                    <a:rect l="textAreaLeft" t="textAreaTop" r="textAreaRight" b="textAreaBottom"/>
                                    <a:pathLst>
                                      <a:path fill="none" w="1545" h="1286">
                                        <a:moveTo>
                                          <a:pt x="1" y="812"/>
                                        </a:moveTo>
                                        <a:cubicBezTo>
                                          <a:pt x="489" y="-214"/>
                                          <a:pt x="-1" y="1356"/>
                                          <a:pt x="445" y="1283"/>
                                        </a:cubicBezTo>
                                        <a:cubicBezTo>
                                          <a:pt x="849" y="1218"/>
                                          <a:pt x="488" y="327"/>
                                          <a:pt x="1075" y="340"/>
                                        </a:cubicBezTo>
                                        <a:lnTo>
                                          <a:pt x="1415" y="130"/>
                                        </a:lnTo>
                                        <a:lnTo>
                                          <a:pt x="1546" y="-1"/>
                                        </a:lnTo>
                                      </a:path>
                                    </a:pathLst>
                                  </a:custGeom>
                                  <a:noFill/>
                                  <a:ln w="18360">
                                    <a:solidFill>
                                      <a:srgbClr val="00a0fc"/>
                                    </a:solidFill>
                                    <a:round/>
                                  </a:ln>
                                </wps:spPr>
                                <wps:style>
                                  <a:lnRef idx="0"/>
                                  <a:fillRef idx="0"/>
                                  <a:effectRef idx="0"/>
                                  <a:fontRef idx="minor"/>
                                </wps:style>
                                <wps:bodyPr/>
                              </wps:wsp>
                            </wpg:grpSp>
                          </wpg:wgp>
                        </a:graphicData>
                      </a:graphic>
                    </wp:anchor>
                  </w:drawing>
                </mc:Choice>
                <mc:Fallback>
                  <w:pict>
                    <v:group id="shape_0" alt="DrawObject 1" style="position:absolute;margin-left:75.75pt;margin-top:-1.2pt;width:155.2pt;height:38.6pt" coordorigin="1515,-24" coordsize="3104,772">
                      <v:group id="shape_0" style="position:absolute;left:1515;top:-24;width:3104;height:772"/>
                    </v:group>
                  </w:pict>
                </mc:Fallback>
              </mc:AlternateContent>
            </w:r>
          </w:p>
        </w:tc>
      </w:tr>
    </w:tbl>
    <w:p>
      <w:pPr>
        <w:pStyle w:val="Normal"/>
        <w:rPr/>
      </w:pPr>
      <w:r>
        <w:rPr/>
      </w:r>
    </w:p>
    <w:p>
      <w:pPr>
        <w:pStyle w:val="Normal"/>
        <w:rPr/>
      </w:pPr>
      <w:r>
        <w:rPr/>
      </w:r>
    </w:p>
    <w:p>
      <w:pPr>
        <w:pStyle w:val="Heading2"/>
        <w:rPr/>
      </w:pPr>
      <w:r>
        <w:rPr/>
        <w:t>Použité přístroje</w:t>
      </w:r>
    </w:p>
    <w:tbl>
      <w:tblPr>
        <w:tblStyle w:val="Mkatabulky"/>
        <w:tblW w:w="92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42"/>
        <w:gridCol w:w="1842"/>
        <w:gridCol w:w="1843"/>
        <w:gridCol w:w="1842"/>
        <w:gridCol w:w="1843"/>
      </w:tblGrid>
      <w:tr>
        <w:trPr/>
        <w:tc>
          <w:tcPr>
            <w:tcW w:w="1842"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Přístroj</w:t>
            </w:r>
          </w:p>
        </w:tc>
        <w:tc>
          <w:tcPr>
            <w:tcW w:w="1842"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Typ</w:t>
            </w:r>
          </w:p>
        </w:tc>
        <w:tc>
          <w:tcPr>
            <w:tcW w:w="184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Výrobní číslo</w:t>
            </w:r>
          </w:p>
        </w:tc>
        <w:tc>
          <w:tcPr>
            <w:tcW w:w="1842"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Inventární číslo</w:t>
            </w:r>
          </w:p>
        </w:tc>
        <w:tc>
          <w:tcPr>
            <w:tcW w:w="1843"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Poznámka</w:t>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generátor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ampérmetr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821052691</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voltmetr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821052684</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kondenzátory</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Kondenzátory s jm. hodnotami 0,01 mik; 0,1 mik; 100 p</w:t>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kabely</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18" w:space="0" w:color="000000"/>
              <w:right w:val="single" w:sz="2" w:space="0" w:color="000000"/>
            </w:tcBorders>
            <w:tcMar>
              <w:top w:w="55" w:type="dxa"/>
              <w:bottom w:w="55" w:type="dxa"/>
            </w:tcMar>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LCR můstek</w:t>
            </w:r>
          </w:p>
        </w:tc>
        <w:tc>
          <w:tcPr>
            <w:tcW w:w="1842" w:type="dxa"/>
            <w:tcBorders>
              <w:top w:val="single" w:sz="2" w:space="0" w:color="000000"/>
              <w:left w:val="single" w:sz="2" w:space="0" w:color="000000"/>
              <w:bottom w:val="single" w:sz="18" w:space="0" w:color="000000"/>
              <w:right w:val="single" w:sz="2" w:space="0" w:color="000000"/>
            </w:tcBorders>
            <w:tcMar>
              <w:top w:w="55" w:type="dxa"/>
              <w:bottom w:w="55" w:type="dxa"/>
            </w:tcMar>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18" w:space="0" w:color="000000"/>
              <w:right w:val="single" w:sz="2" w:space="0" w:color="000000"/>
            </w:tcBorders>
            <w:tcMar>
              <w:top w:w="55" w:type="dxa"/>
              <w:bottom w:w="55" w:type="dxa"/>
            </w:tcMar>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18" w:space="0" w:color="000000"/>
              <w:right w:val="single" w:sz="2" w:space="0" w:color="000000"/>
            </w:tcBorders>
            <w:tcMar>
              <w:top w:w="55" w:type="dxa"/>
              <w:bottom w:w="55" w:type="dxa"/>
            </w:tcMar>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EL 965/57</w:t>
            </w:r>
          </w:p>
        </w:tc>
        <w:tc>
          <w:tcPr>
            <w:tcW w:w="1843" w:type="dxa"/>
            <w:tcBorders>
              <w:top w:val="single" w:sz="6" w:space="0" w:color="000000"/>
              <w:left w:val="single" w:sz="6" w:space="0" w:color="000000"/>
              <w:bottom w:val="single" w:sz="18" w:space="0" w:color="000000"/>
              <w:right w:val="single" w:sz="18" w:space="0" w:color="000000"/>
            </w:tcBorders>
            <w:tcMar>
              <w:top w:w="55" w:type="dxa"/>
              <w:bottom w:w="55" w:type="dxa"/>
            </w:tcMar>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bl>
    <w:p>
      <w:pPr>
        <w:pStyle w:val="Normal"/>
        <w:rPr/>
      </w:pPr>
      <w:r>
        <w:rPr/>
      </w:r>
    </w:p>
    <w:p>
      <w:pPr>
        <w:pStyle w:val="Normal"/>
        <w:rPr/>
      </w:pPr>
      <w:r>
        <w:rPr/>
      </w:r>
    </w:p>
    <w:p>
      <w:pPr>
        <w:pStyle w:val="Normal"/>
        <w:rPr/>
      </w:pPr>
      <w:r>
        <w:rPr/>
      </w:r>
    </w:p>
    <w:p>
      <w:pPr>
        <w:pStyle w:val="Heading2"/>
        <w:rPr/>
      </w:pPr>
      <w:r>
        <w:rPr/>
        <w:t>Hodnocení</w:t>
      </w:r>
    </w:p>
    <w:tbl>
      <w:tblPr>
        <w:tblStyle w:val="Mkatabulky"/>
        <w:tblW w:w="91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18"/>
        <w:gridCol w:w="4393"/>
        <w:gridCol w:w="1276"/>
        <w:gridCol w:w="992"/>
      </w:tblGrid>
      <w:tr>
        <w:trPr/>
        <w:tc>
          <w:tcPr>
            <w:tcW w:w="2518"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Etapa hodnocení úlohy</w:t>
            </w:r>
          </w:p>
        </w:tc>
        <w:tc>
          <w:tcPr>
            <w:tcW w:w="439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Bodovaná část</w:t>
            </w:r>
          </w:p>
        </w:tc>
        <w:tc>
          <w:tcPr>
            <w:tcW w:w="1276"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Maximální počet bodů</w:t>
            </w:r>
          </w:p>
        </w:tc>
        <w:tc>
          <w:tcPr>
            <w:tcW w:w="992"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Získané body</w:t>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Samostatná příprava</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Ústní přezkoušení z měřené problematiky</w:t>
            </w:r>
            <w:r>
              <w:rPr>
                <w:rStyle w:val="FootnoteReference"/>
                <w:rFonts w:eastAsia="Calibri" w:cs=""/>
                <w:kern w:val="0"/>
                <w:sz w:val="22"/>
                <w:szCs w:val="22"/>
                <w:lang w:val="cs-CZ" w:eastAsia="en-US" w:bidi="ar-SA"/>
              </w:rPr>
              <w:footnoteReference w:id="2"/>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rHeight w:val="335" w:hRule="atLeast"/>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Měření v laboratoři</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Zapojování schémat, průběh měření</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Konzultace</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Nepovinná, proběhla dne:……………….</w:t>
            </w:r>
            <w:r>
              <w:rPr>
                <w:rStyle w:val="FootnoteReference"/>
                <w:rFonts w:eastAsia="Calibri" w:cs=""/>
                <w:kern w:val="0"/>
                <w:sz w:val="22"/>
                <w:szCs w:val="22"/>
                <w:lang w:val="cs-CZ" w:eastAsia="en-US" w:bidi="ar-SA"/>
              </w:rPr>
              <w:footnoteReference w:id="3"/>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restart"/>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Zpracování protokolu</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Úpravnost, struktura protokolu</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Výpočty (dosazení, výsledky, jednotky)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Tabulky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Grafy (popis os, měřítko, vlastní graf)</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Odpovědi na otázky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Závěr</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Obhajoba</w:t>
            </w:r>
            <w:r>
              <w:rPr>
                <w:rStyle w:val="FootnoteReference"/>
                <w:rFonts w:eastAsia="Calibri" w:cs=""/>
                <w:kern w:val="0"/>
                <w:sz w:val="22"/>
                <w:szCs w:val="22"/>
                <w:lang w:val="cs-CZ" w:eastAsia="en-US" w:bidi="ar-SA"/>
              </w:rPr>
              <w:footnoteReference w:id="4"/>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Celkové hodnocení</w:t>
            </w:r>
          </w:p>
        </w:tc>
        <w:tc>
          <w:tcPr>
            <w:tcW w:w="439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protokolu o laboratorním cvičení</w:t>
            </w:r>
          </w:p>
        </w:tc>
        <w:tc>
          <w:tcPr>
            <w:tcW w:w="1276"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100</w:t>
            </w:r>
          </w:p>
        </w:tc>
        <w:tc>
          <w:tcPr>
            <w:tcW w:w="992"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b/>
                <w:i/>
                <w:sz w:val="22"/>
              </w:rPr>
            </w:r>
          </w:p>
        </w:tc>
      </w:tr>
    </w:tbl>
    <w:p>
      <w:pPr>
        <w:pStyle w:val="Normal"/>
        <w:rPr/>
      </w:pPr>
      <w:r>
        <w:rPr/>
      </w:r>
    </w:p>
    <w:tbl>
      <w:tblPr>
        <w:tblStyle w:val="Mkatabulky"/>
        <w:tblW w:w="50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60"/>
        <w:gridCol w:w="2409"/>
      </w:tblGrid>
      <w:tr>
        <w:trPr>
          <w:cantSplit w:val="true"/>
        </w:trPr>
        <w:tc>
          <w:tcPr>
            <w:tcW w:w="5069" w:type="dxa"/>
            <w:gridSpan w:val="2"/>
            <w:tcBorders>
              <w:top w:val="single" w:sz="18" w:space="0" w:color="000000"/>
              <w:left w:val="single" w:sz="18"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Přiřazení klasifikace</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Počet získaných bodů</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Hodnocení</w:t>
            </w:r>
            <w:r>
              <w:rPr>
                <w:rStyle w:val="FootnoteReference"/>
                <w:rFonts w:eastAsia="Calibri" w:cs=""/>
                <w:kern w:val="0"/>
                <w:sz w:val="22"/>
                <w:szCs w:val="22"/>
                <w:lang w:val="cs-CZ" w:eastAsia="en-US" w:bidi="ar-SA"/>
              </w:rPr>
              <w:footnoteReference w:id="5"/>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řádný termín</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b/>
                <w:i/>
                <w:sz w:val="22"/>
              </w:rPr>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 až 49</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50 až 60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4</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61 až 70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71 až 85</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86 až 100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w:t>
            </w:r>
          </w:p>
        </w:tc>
      </w:tr>
      <w:tr>
        <w:trPr>
          <w:cantSplit w:val="true"/>
        </w:trPr>
        <w:tc>
          <w:tcPr>
            <w:tcW w:w="5069" w:type="dxa"/>
            <w:gridSpan w:val="2"/>
            <w:tcBorders>
              <w:top w:val="single" w:sz="2" w:space="0" w:color="000000"/>
              <w:left w:val="single" w:sz="18"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Uzavření klasifikace protokolu dne: ……………………… Podpis: ………………………</w:t>
            </w:r>
          </w:p>
        </w:tc>
      </w:tr>
    </w:tbl>
    <w:p>
      <w:pPr>
        <w:pStyle w:val="Normal"/>
        <w:rPr/>
      </w:pPr>
      <w:r>
        <w:rPr/>
      </w:r>
    </w:p>
    <w:p>
      <w:pPr>
        <w:pStyle w:val="Heading2"/>
        <w:rPr/>
      </w:pPr>
      <w:r>
        <w:rPr/>
        <w:t>Poznámky</w:t>
      </w:r>
    </w:p>
    <w:p>
      <w:pPr>
        <w:pStyle w:val="Heading3"/>
        <w:rPr/>
      </w:pPr>
      <w:r>
        <w:rPr/>
        <w:t>Přehled druhů vyráběných kondenzátorů (výpisy z katalogových listů)</w:t>
      </w:r>
    </w:p>
    <w:p>
      <w:pPr>
        <w:pStyle w:val="Normal"/>
        <w:rPr/>
      </w:pPr>
      <w:r>
        <w:rPr/>
        <w:t>Máme mnoho druhů kapacitorů: keramické (od 0.40 Kč do 8 Kč), hliníkové/tantalové (ceny od 0.50 Kč do 100 Kč), papírové, plastové (od 1 Kč do 95 Kč), slídové, dolaďovací... Mezi vlastnosti kapacitorů patří rozsah provozní teploty, rozsah kapacity a její tolerance, jmenovité provozní napětí, typ dielektrika, atd.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r>
        <w:rPr/>
        <w:t>Přehled veličin elektrostatického pole a vztahů mezi nimi</w:t>
      </w:r>
    </w:p>
    <w:p>
      <w:pPr>
        <w:pStyle w:val="Normal"/>
        <w:rPr/>
      </w:pPr>
      <w:r>
        <w:rPr/>
      </w:r>
    </w:p>
    <w:p>
      <w:pPr>
        <w:pStyle w:val="Normal"/>
        <w:rPr/>
      </w:pPr>
      <w:r>
        <w:rPr/>
        <w:t>Elektrické Pole (E; V/m) - síla působící na náboj umístěný v daném bodě prostoru; Potenciál (V; V) - práce vykonána při přesunutí náboje do daného bodu v el. poli; Náboj (Q; C) - popisuje množství el. náboje; Permitivita ($\epsilon$; F/m) - míra odporu při vytváření el. pole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spacing w:before="0" w:after="200"/>
        <w:rPr/>
      </w:pPr>
      <w:r>
        <w:rPr/>
      </w:r>
    </w:p>
    <w:p>
      <w:pPr>
        <w:pStyle w:val="Heading2"/>
        <w:rPr/>
      </w:pPr>
      <w:r>
        <w:rPr/>
        <w:t>Záznam naměřených hodnot</w:t>
      </w:r>
    </w:p>
    <w:tbl>
      <w:tblPr>
        <w:tblpPr w:vertAnchor="text" w:horzAnchor="margin" w:leftFromText="141" w:rightFromText="141" w:tblpX="0" w:tblpY="2"/>
        <w:tblW w:w="921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3509"/>
        <w:gridCol w:w="5702"/>
      </w:tblGrid>
      <w:tr>
        <w:trPr>
          <w:trHeight w:val="529" w:hRule="atLeast"/>
        </w:trPr>
        <w:tc>
          <w:tcPr>
            <w:tcW w:w="3509" w:type="dxa"/>
            <w:tcBorders>
              <w:top w:val="single" w:sz="24" w:space="0" w:color="000000"/>
              <w:left w:val="single" w:sz="24" w:space="0" w:color="000000"/>
              <w:bottom w:val="single" w:sz="6" w:space="0" w:color="000000"/>
              <w:right w:val="single" w:sz="6" w:space="0" w:color="000000"/>
            </w:tcBorders>
          </w:tcPr>
          <w:p>
            <w:pPr>
              <w:pStyle w:val="Normal"/>
              <w:spacing w:lineRule="auto" w:line="240" w:before="0" w:after="200"/>
              <w:rPr>
                <w:rFonts w:ascii="Calibri" w:hAnsi="Calibri" w:eastAsia="Calibri" w:cs="Times New Roman"/>
                <w:b/>
                <w:sz w:val="20"/>
                <w:szCs w:val="20"/>
              </w:rPr>
            </w:pPr>
            <w:r>
              <w:rPr>
                <w:b/>
                <w:sz w:val="20"/>
                <w:szCs w:val="20"/>
              </w:rPr>
              <w:t>Úloha:</w:t>
            </w:r>
          </w:p>
        </w:tc>
        <w:tc>
          <w:tcPr>
            <w:tcW w:w="5702" w:type="dxa"/>
            <w:tcBorders>
              <w:top w:val="single" w:sz="24" w:space="0" w:color="000000"/>
              <w:left w:val="single" w:sz="6" w:space="0" w:color="000000"/>
              <w:bottom w:val="single" w:sz="6" w:space="0" w:color="000000"/>
              <w:right w:val="single" w:sz="24" w:space="0" w:color="000000"/>
            </w:tcBorders>
          </w:tcPr>
          <w:p>
            <w:pPr>
              <w:pStyle w:val="Normal"/>
              <w:spacing w:lineRule="auto" w:line="240" w:before="0" w:after="200"/>
              <w:rPr>
                <w:rFonts w:ascii="Calibri" w:hAnsi="Calibri" w:eastAsia="Calibri" w:cs="Times New Roman"/>
                <w:sz w:val="20"/>
                <w:szCs w:val="20"/>
              </w:rPr>
            </w:pPr>
            <w:r>
              <w:rPr>
                <w:rFonts w:eastAsia="Calibri" w:cs="Times New Roman"/>
                <w:sz w:val="20"/>
                <w:szCs w:val="20"/>
              </w:rPr>
              <w:t>Měření kapacity kondenzátorů</w:t>
            </w:r>
          </w:p>
        </w:tc>
      </w:tr>
      <w:tr>
        <w:trPr>
          <w:trHeight w:val="673" w:hRule="atLeast"/>
          <w:cantSplit w:val="true"/>
        </w:trPr>
        <w:tc>
          <w:tcPr>
            <w:tcW w:w="3509" w:type="dxa"/>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rFonts w:ascii="Calibri" w:hAnsi="Calibri" w:eastAsia="Calibri" w:cs="Times New Roman"/>
                <w:b/>
                <w:sz w:val="20"/>
                <w:szCs w:val="20"/>
              </w:rPr>
            </w:pPr>
            <w:r>
              <w:rPr>
                <w:b/>
                <w:sz w:val="20"/>
                <w:szCs w:val="20"/>
              </w:rPr>
              <w:t>Datum měře</w:t>
            </w:r>
            <w:r>
              <w:rPr>
                <w:rFonts w:eastAsia="Calibri" w:cs="Times New Roman"/>
                <w:b/>
                <w:sz w:val="20"/>
                <w:szCs w:val="20"/>
              </w:rPr>
              <w:t>ní:</w:t>
            </w:r>
          </w:p>
        </w:tc>
        <w:tc>
          <w:tcPr>
            <w:tcW w:w="5702" w:type="dxa"/>
            <w:tcBorders>
              <w:top w:val="single" w:sz="6" w:space="0" w:color="000000"/>
              <w:left w:val="single" w:sz="6" w:space="0" w:color="000000"/>
              <w:bottom w:val="single" w:sz="24" w:space="0" w:color="000000"/>
              <w:right w:val="single" w:sz="24" w:space="0" w:color="000000"/>
            </w:tcBorders>
          </w:tcPr>
          <w:p>
            <w:pPr>
              <w:pStyle w:val="Normal"/>
              <w:spacing w:lineRule="auto" w:line="240" w:before="0" w:after="200"/>
              <w:rPr>
                <w:rFonts w:ascii="Calibri" w:hAnsi="Calibri" w:eastAsia="Calibri" w:cs="Times New Roman"/>
                <w:b/>
                <w:sz w:val="20"/>
                <w:szCs w:val="20"/>
              </w:rPr>
            </w:pPr>
            <w:r>
              <w:rPr>
                <w:rFonts w:eastAsia="Calibri" w:cs="Times New Roman"/>
                <w:b/>
                <w:sz w:val="20"/>
                <w:szCs w:val="20"/>
              </w:rPr>
              <w:t>P</w:t>
            </w:r>
            <w:r>
              <w:rPr>
                <w:b/>
                <w:sz w:val="20"/>
                <w:szCs w:val="20"/>
              </w:rPr>
              <w:t>říjmení a jméno</w:t>
            </w:r>
            <w:r>
              <w:rPr>
                <w:rFonts w:eastAsia="Calibri" w:cs="Times New Roman"/>
                <w:b/>
                <w:sz w:val="20"/>
                <w:szCs w:val="20"/>
              </w:rPr>
              <w:t xml:space="preserve"> studenta:</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8</w:t>
      </w:r>
      <w:r>
        <w:rPr/>
        <w:fldChar w:fldCharType="end"/>
      </w:r>
      <w:r>
        <w:rPr/>
        <w:t>: Měření LCR můstkem (C</w:t>
      </w:r>
      <w:r>
        <w:rPr>
          <w:vertAlign w:val="subscript"/>
        </w:rPr>
        <w:t>LCR</w:t>
      </w:r>
      <w:r>
        <w:rPr/>
        <w:t xml:space="preserve"> je kapacita změřená LCR můstkem, případně multimetrem, nebo jmenovitá hodnota)</w:t>
      </w:r>
    </w:p>
    <w:tbl>
      <w:tblPr>
        <w:tblW w:w="2770"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535"/>
        <w:gridCol w:w="1234"/>
      </w:tblGrid>
      <w:tr>
        <w:trPr>
          <w:tblHeader w:val="true"/>
          <w:trHeight w:val="328" w:hRule="atLeast"/>
          <w:cantSplit w:val="true"/>
        </w:trPr>
        <w:tc>
          <w:tcPr>
            <w:tcW w:w="1535"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b/>
                <w:i/>
                <w:i/>
              </w:rPr>
            </w:pPr>
            <w:r>
              <w:rPr>
                <w:b/>
                <w:i/>
              </w:rPr>
            </w:r>
          </w:p>
        </w:tc>
        <w:tc>
          <w:tcPr>
            <w:tcW w:w="1234"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rPr>
            </w:pPr>
            <w:r>
              <w:rPr>
                <w:b/>
              </w:rPr>
              <w:t>C</w:t>
            </w:r>
            <w:r>
              <w:rPr>
                <w:b/>
                <w:vertAlign w:val="subscript"/>
              </w:rPr>
              <w:t xml:space="preserve">LCR </w:t>
            </w:r>
            <w:r>
              <w:rPr>
                <w:b/>
              </w:rPr>
              <w:t>(F)</w:t>
            </w:r>
          </w:p>
        </w:tc>
      </w:tr>
      <w:tr>
        <w:trPr>
          <w:trHeight w:val="339" w:hRule="atLeast"/>
        </w:trPr>
        <w:tc>
          <w:tcPr>
            <w:tcW w:w="1535"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vertAlign w:val="subscript"/>
              </w:rPr>
            </w:pPr>
            <w:r>
              <w:rPr/>
              <w:t>C</w:t>
            </w:r>
            <w:r>
              <w:rPr>
                <w:vertAlign w:val="subscript"/>
              </w:rPr>
              <w:t>1</w:t>
            </w:r>
          </w:p>
        </w:tc>
        <w:tc>
          <w:tcPr>
            <w:tcW w:w="1234"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rPr>
            </w:pPr>
            <w:r>
              <w:rPr>
                <w:b/>
              </w:rPr>
            </w:r>
          </w:p>
        </w:tc>
      </w:tr>
      <w:tr>
        <w:trPr>
          <w:trHeight w:val="350" w:hRule="atLeast"/>
        </w:trPr>
        <w:tc>
          <w:tcPr>
            <w:tcW w:w="1535"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vertAlign w:val="subscript"/>
              </w:rPr>
            </w:pPr>
            <w:r>
              <w:rPr/>
              <w:t>C</w:t>
            </w:r>
            <w:r>
              <w:rPr>
                <w:vertAlign w:val="subscript"/>
              </w:rPr>
              <w:t>2</w:t>
            </w:r>
          </w:p>
        </w:tc>
        <w:tc>
          <w:tcPr>
            <w:tcW w:w="1234"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rPr>
            </w:pPr>
            <w:r>
              <w:rPr>
                <w:b/>
              </w:rPr>
            </w:r>
          </w:p>
        </w:tc>
      </w:tr>
      <w:tr>
        <w:trPr>
          <w:trHeight w:val="332" w:hRule="atLeast"/>
        </w:trPr>
        <w:tc>
          <w:tcPr>
            <w:tcW w:w="1535"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vertAlign w:val="subscript"/>
              </w:rPr>
            </w:pPr>
            <w:r>
              <w:rPr/>
              <w:t>C</w:t>
            </w:r>
            <w:r>
              <w:rPr>
                <w:vertAlign w:val="subscript"/>
              </w:rPr>
              <w:t>3</w:t>
            </w:r>
          </w:p>
        </w:tc>
        <w:tc>
          <w:tcPr>
            <w:tcW w:w="1234"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rPr>
            </w:pPr>
            <w:r>
              <w:rPr>
                <w:b/>
              </w:rPr>
            </w:r>
          </w:p>
        </w:tc>
      </w:tr>
      <w:tr>
        <w:trPr>
          <w:trHeight w:val="355" w:hRule="atLeast"/>
        </w:trPr>
        <w:tc>
          <w:tcPr>
            <w:tcW w:w="1535"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C</w:t>
            </w:r>
            <w:r>
              <w:rPr>
                <w:vertAlign w:val="subscript"/>
              </w:rPr>
              <w:t>1</w:t>
            </w:r>
            <w:r>
              <w:rPr/>
              <w:t>C</w:t>
            </w:r>
            <w:r>
              <w:rPr>
                <w:vertAlign w:val="subscript"/>
              </w:rPr>
              <w:t>2</w:t>
            </w:r>
            <w:r>
              <w:rPr/>
              <w:t xml:space="preserve"> C</w:t>
            </w:r>
            <w:r>
              <w:rPr>
                <w:vertAlign w:val="subscript"/>
              </w:rPr>
              <w:t>3</w:t>
            </w:r>
            <w:r>
              <w:rPr/>
              <w:t xml:space="preserve"> par.</w:t>
            </w:r>
          </w:p>
        </w:tc>
        <w:tc>
          <w:tcPr>
            <w:tcW w:w="1234"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rPr>
            </w:pPr>
            <w:r>
              <w:rPr>
                <w:b/>
              </w:rPr>
            </w:r>
          </w:p>
        </w:tc>
      </w:tr>
      <w:tr>
        <w:trPr>
          <w:trHeight w:val="352" w:hRule="atLeast"/>
        </w:trPr>
        <w:tc>
          <w:tcPr>
            <w:tcW w:w="1535"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t>C</w:t>
            </w:r>
            <w:r>
              <w:rPr>
                <w:vertAlign w:val="subscript"/>
              </w:rPr>
              <w:t>1</w:t>
            </w:r>
            <w:r>
              <w:rPr/>
              <w:t>C</w:t>
            </w:r>
            <w:r>
              <w:rPr>
                <w:vertAlign w:val="subscript"/>
              </w:rPr>
              <w:t>2</w:t>
            </w:r>
            <w:r>
              <w:rPr/>
              <w:t xml:space="preserve"> C</w:t>
            </w:r>
            <w:r>
              <w:rPr>
                <w:vertAlign w:val="subscript"/>
              </w:rPr>
              <w:t xml:space="preserve">3 </w:t>
            </w:r>
            <w:r>
              <w:rPr/>
              <w:t>sér.</w:t>
            </w:r>
          </w:p>
        </w:tc>
        <w:tc>
          <w:tcPr>
            <w:tcW w:w="1234"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b/>
              </w:rPr>
            </w:pPr>
            <w:r>
              <w:rPr>
                <w:b/>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9</w:t>
      </w:r>
      <w:r>
        <w:rPr/>
        <w:fldChar w:fldCharType="end"/>
      </w:r>
      <w:r>
        <w:rPr/>
        <w:t>: Měření Ohmovou metodou (při kmitočtu 100 Hz)</w:t>
      </w:r>
    </w:p>
    <w:tbl>
      <w:tblPr>
        <w:tblW w:w="3678"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534"/>
        <w:gridCol w:w="1081"/>
        <w:gridCol w:w="1063"/>
      </w:tblGrid>
      <w:tr>
        <w:trPr>
          <w:tblHeader w:val="true"/>
          <w:trHeight w:val="328" w:hRule="atLeast"/>
          <w:cantSplit w:val="true"/>
        </w:trPr>
        <w:tc>
          <w:tcPr>
            <w:tcW w:w="1534"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b/>
                <w:i/>
                <w:i/>
              </w:rPr>
            </w:pPr>
            <w:r>
              <w:rPr>
                <w:b/>
                <w:i/>
              </w:rPr>
            </w:r>
          </w:p>
        </w:tc>
        <w:tc>
          <w:tcPr>
            <w:tcW w:w="1081"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b/>
              </w:rPr>
            </w:pPr>
            <w:r>
              <w:rPr>
                <w:b/>
              </w:rPr>
              <w:t>U</w:t>
            </w:r>
            <w:r>
              <w:rPr>
                <w:b/>
                <w:vertAlign w:val="subscript"/>
              </w:rPr>
              <w:t>C</w:t>
            </w:r>
            <w:r>
              <w:rPr>
                <w:b/>
              </w:rPr>
              <w:t xml:space="preserve"> (V)</w:t>
            </w:r>
          </w:p>
        </w:tc>
        <w:tc>
          <w:tcPr>
            <w:tcW w:w="1063"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rPr>
            </w:pPr>
            <w:r>
              <w:rPr>
                <w:b/>
              </w:rPr>
              <w:t>I</w:t>
            </w:r>
            <w:r>
              <w:rPr>
                <w:b/>
                <w:vertAlign w:val="subscript"/>
              </w:rPr>
              <w:t>C</w:t>
            </w:r>
            <w:r>
              <w:rPr>
                <w:b/>
              </w:rPr>
              <w:t xml:space="preserve"> (A)</w:t>
            </w:r>
          </w:p>
        </w:tc>
      </w:tr>
      <w:tr>
        <w:trPr>
          <w:trHeight w:val="339" w:hRule="atLeast"/>
          <w:cantSplit w:val="true"/>
        </w:trPr>
        <w:tc>
          <w:tcPr>
            <w:tcW w:w="1534"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vertAlign w:val="subscript"/>
              </w:rPr>
            </w:pPr>
            <w:r>
              <w:rPr/>
              <w:t>C</w:t>
            </w:r>
            <w:r>
              <w:rPr>
                <w:vertAlign w:val="subscript"/>
              </w:rPr>
              <w:t>1</w:t>
            </w:r>
          </w:p>
        </w:tc>
        <w:tc>
          <w:tcPr>
            <w:tcW w:w="108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b/>
              </w:rPr>
            </w:pPr>
            <w:r>
              <w:rPr>
                <w:b/>
              </w:rPr>
            </w:r>
          </w:p>
        </w:tc>
        <w:tc>
          <w:tcPr>
            <w:tcW w:w="106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rPr>
            </w:pPr>
            <w:r>
              <w:rPr>
                <w:b/>
              </w:rPr>
            </w:r>
          </w:p>
        </w:tc>
      </w:tr>
      <w:tr>
        <w:trPr>
          <w:trHeight w:val="350" w:hRule="atLeast"/>
          <w:cantSplit w:val="true"/>
        </w:trPr>
        <w:tc>
          <w:tcPr>
            <w:tcW w:w="1534"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vertAlign w:val="subscript"/>
              </w:rPr>
            </w:pPr>
            <w:r>
              <w:rPr/>
              <w:t>C</w:t>
            </w:r>
            <w:r>
              <w:rPr>
                <w:vertAlign w:val="subscript"/>
              </w:rPr>
              <w:t>2</w:t>
            </w:r>
          </w:p>
        </w:tc>
        <w:tc>
          <w:tcPr>
            <w:tcW w:w="108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b/>
              </w:rPr>
            </w:pPr>
            <w:r>
              <w:rPr>
                <w:b/>
              </w:rPr>
            </w:r>
          </w:p>
        </w:tc>
        <w:tc>
          <w:tcPr>
            <w:tcW w:w="106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rPr>
            </w:pPr>
            <w:r>
              <w:rPr>
                <w:b/>
              </w:rPr>
            </w:r>
          </w:p>
        </w:tc>
      </w:tr>
      <w:tr>
        <w:trPr>
          <w:trHeight w:val="332" w:hRule="atLeast"/>
          <w:cantSplit w:val="true"/>
        </w:trPr>
        <w:tc>
          <w:tcPr>
            <w:tcW w:w="1534"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vertAlign w:val="subscript"/>
              </w:rPr>
            </w:pPr>
            <w:r>
              <w:rPr/>
              <w:t>C</w:t>
            </w:r>
            <w:r>
              <w:rPr>
                <w:vertAlign w:val="subscript"/>
              </w:rPr>
              <w:t>3</w:t>
            </w:r>
          </w:p>
        </w:tc>
        <w:tc>
          <w:tcPr>
            <w:tcW w:w="108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b/>
              </w:rPr>
            </w:pPr>
            <w:r>
              <w:rPr>
                <w:b/>
              </w:rPr>
            </w:r>
          </w:p>
        </w:tc>
        <w:tc>
          <w:tcPr>
            <w:tcW w:w="106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rPr>
            </w:pPr>
            <w:r>
              <w:rPr>
                <w:b/>
              </w:rPr>
            </w:r>
          </w:p>
        </w:tc>
      </w:tr>
      <w:tr>
        <w:trPr>
          <w:trHeight w:val="355" w:hRule="atLeast"/>
          <w:cantSplit w:val="true"/>
        </w:trPr>
        <w:tc>
          <w:tcPr>
            <w:tcW w:w="1534"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C</w:t>
            </w:r>
            <w:r>
              <w:rPr>
                <w:vertAlign w:val="subscript"/>
              </w:rPr>
              <w:t>1</w:t>
            </w:r>
            <w:r>
              <w:rPr/>
              <w:t>C</w:t>
            </w:r>
            <w:r>
              <w:rPr>
                <w:vertAlign w:val="subscript"/>
              </w:rPr>
              <w:t>2</w:t>
            </w:r>
            <w:r>
              <w:rPr/>
              <w:t xml:space="preserve"> C</w:t>
            </w:r>
            <w:r>
              <w:rPr>
                <w:vertAlign w:val="subscript"/>
              </w:rPr>
              <w:t>3</w:t>
            </w:r>
            <w:r>
              <w:rPr/>
              <w:t xml:space="preserve"> par.</w:t>
            </w:r>
          </w:p>
        </w:tc>
        <w:tc>
          <w:tcPr>
            <w:tcW w:w="108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b/>
              </w:rPr>
            </w:pPr>
            <w:r>
              <w:rPr>
                <w:b/>
              </w:rPr>
            </w:r>
          </w:p>
        </w:tc>
        <w:tc>
          <w:tcPr>
            <w:tcW w:w="106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rPr>
            </w:pPr>
            <w:r>
              <w:rPr>
                <w:b/>
              </w:rPr>
            </w:r>
          </w:p>
        </w:tc>
      </w:tr>
      <w:tr>
        <w:trPr>
          <w:trHeight w:val="352" w:hRule="atLeast"/>
          <w:cantSplit w:val="true"/>
        </w:trPr>
        <w:tc>
          <w:tcPr>
            <w:tcW w:w="1534"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t>C</w:t>
            </w:r>
            <w:r>
              <w:rPr>
                <w:vertAlign w:val="subscript"/>
              </w:rPr>
              <w:t>1</w:t>
            </w:r>
            <w:r>
              <w:rPr/>
              <w:t>C</w:t>
            </w:r>
            <w:r>
              <w:rPr>
                <w:vertAlign w:val="subscript"/>
              </w:rPr>
              <w:t>2</w:t>
            </w:r>
            <w:r>
              <w:rPr/>
              <w:t xml:space="preserve"> C</w:t>
            </w:r>
            <w:r>
              <w:rPr>
                <w:vertAlign w:val="subscript"/>
              </w:rPr>
              <w:t xml:space="preserve">3 </w:t>
            </w:r>
            <w:r>
              <w:rPr/>
              <w:t>sér.</w:t>
            </w:r>
          </w:p>
        </w:tc>
        <w:tc>
          <w:tcPr>
            <w:tcW w:w="1081"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b/>
              </w:rPr>
            </w:pPr>
            <w:r>
              <w:rPr>
                <w:b/>
              </w:rPr>
            </w:r>
          </w:p>
        </w:tc>
        <w:tc>
          <w:tcPr>
            <w:tcW w:w="1063"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b/>
              </w:rPr>
            </w:pPr>
            <w:r>
              <w:rPr>
                <w:b/>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10</w:t>
      </w:r>
      <w:r>
        <w:rPr/>
        <w:fldChar w:fldCharType="end"/>
      </w:r>
      <w:r>
        <w:rPr/>
        <w:t>: Měření závislosti proudu na napětí</w:t>
      </w:r>
    </w:p>
    <w:tbl>
      <w:tblPr>
        <w:tblW w:w="10004"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883"/>
        <w:gridCol w:w="539"/>
        <w:gridCol w:w="578"/>
        <w:gridCol w:w="547"/>
        <w:gridCol w:w="579"/>
        <w:gridCol w:w="544"/>
        <w:gridCol w:w="575"/>
        <w:gridCol w:w="544"/>
        <w:gridCol w:w="583"/>
        <w:gridCol w:w="579"/>
        <w:gridCol w:w="575"/>
        <w:gridCol w:w="579"/>
        <w:gridCol w:w="583"/>
        <w:gridCol w:w="579"/>
        <w:gridCol w:w="575"/>
        <w:gridCol w:w="579"/>
        <w:gridCol w:w="583"/>
      </w:tblGrid>
      <w:tr>
        <w:trPr/>
        <w:tc>
          <w:tcPr>
            <w:tcW w:w="883" w:type="dxa"/>
            <w:tcBorders>
              <w:top w:val="single" w:sz="12" w:space="0" w:color="000000"/>
              <w:left w:val="single" w:sz="12" w:space="0" w:color="000000"/>
              <w:bottom w:val="single" w:sz="4" w:space="0" w:color="000000"/>
              <w:right w:val="single" w:sz="4" w:space="0" w:color="000000"/>
            </w:tcBorders>
          </w:tcPr>
          <w:p>
            <w:pPr>
              <w:pStyle w:val="Normal"/>
              <w:spacing w:lineRule="auto" w:line="240" w:before="0" w:after="0"/>
              <w:jc w:val="center"/>
              <w:rPr/>
            </w:pPr>
            <w:r>
              <w:rPr>
                <w:b/>
                <w:bCs/>
              </w:rPr>
              <w:t>U (V)</w:t>
            </w:r>
          </w:p>
        </w:tc>
        <w:tc>
          <w:tcPr>
            <w:tcW w:w="53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0</w:t>
            </w:r>
          </w:p>
        </w:tc>
        <w:tc>
          <w:tcPr>
            <w:tcW w:w="578"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0,5</w:t>
            </w:r>
          </w:p>
        </w:tc>
        <w:tc>
          <w:tcPr>
            <w:tcW w:w="547"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1</w:t>
            </w:r>
          </w:p>
        </w:tc>
        <w:tc>
          <w:tcPr>
            <w:tcW w:w="57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1,5</w:t>
            </w:r>
          </w:p>
        </w:tc>
        <w:tc>
          <w:tcPr>
            <w:tcW w:w="544"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2</w:t>
            </w:r>
          </w:p>
        </w:tc>
        <w:tc>
          <w:tcPr>
            <w:tcW w:w="575"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2,5</w:t>
            </w:r>
          </w:p>
        </w:tc>
        <w:tc>
          <w:tcPr>
            <w:tcW w:w="544"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3</w:t>
            </w:r>
          </w:p>
        </w:tc>
        <w:tc>
          <w:tcPr>
            <w:tcW w:w="583"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3,5</w:t>
            </w:r>
          </w:p>
        </w:tc>
        <w:tc>
          <w:tcPr>
            <w:tcW w:w="57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4</w:t>
            </w:r>
          </w:p>
        </w:tc>
        <w:tc>
          <w:tcPr>
            <w:tcW w:w="575"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4,5</w:t>
            </w:r>
          </w:p>
        </w:tc>
        <w:tc>
          <w:tcPr>
            <w:tcW w:w="57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5</w:t>
            </w:r>
          </w:p>
        </w:tc>
        <w:tc>
          <w:tcPr>
            <w:tcW w:w="583"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5,5</w:t>
            </w:r>
          </w:p>
        </w:tc>
        <w:tc>
          <w:tcPr>
            <w:tcW w:w="57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6</w:t>
            </w:r>
          </w:p>
        </w:tc>
        <w:tc>
          <w:tcPr>
            <w:tcW w:w="575"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6,5</w:t>
            </w:r>
          </w:p>
        </w:tc>
        <w:tc>
          <w:tcPr>
            <w:tcW w:w="57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7</w:t>
            </w:r>
          </w:p>
        </w:tc>
        <w:tc>
          <w:tcPr>
            <w:tcW w:w="583" w:type="dxa"/>
            <w:tcBorders>
              <w:top w:val="single" w:sz="12" w:space="0" w:color="000000"/>
              <w:left w:val="single" w:sz="4" w:space="0" w:color="000000"/>
              <w:bottom w:val="single" w:sz="4" w:space="0" w:color="000000"/>
              <w:right w:val="single" w:sz="12" w:space="0" w:color="000000"/>
            </w:tcBorders>
          </w:tcPr>
          <w:p>
            <w:pPr>
              <w:pStyle w:val="Normal"/>
              <w:spacing w:lineRule="auto" w:line="240" w:before="0" w:after="0"/>
              <w:jc w:val="center"/>
              <w:rPr/>
            </w:pPr>
            <w:r>
              <w:rPr/>
              <w:t>7,5</w:t>
            </w:r>
          </w:p>
        </w:tc>
      </w:tr>
      <w:tr>
        <w:trPr/>
        <w:tc>
          <w:tcPr>
            <w:tcW w:w="883" w:type="dxa"/>
            <w:tcBorders>
              <w:top w:val="single" w:sz="4" w:space="0" w:color="000000"/>
              <w:left w:val="single" w:sz="12" w:space="0" w:color="000000"/>
              <w:bottom w:val="single" w:sz="12" w:space="0" w:color="000000"/>
              <w:right w:val="single" w:sz="4" w:space="0" w:color="000000"/>
            </w:tcBorders>
          </w:tcPr>
          <w:p>
            <w:pPr>
              <w:pStyle w:val="Normal"/>
              <w:spacing w:lineRule="auto" w:line="240" w:before="0" w:after="0"/>
              <w:jc w:val="center"/>
              <w:rPr/>
            </w:pPr>
            <w:r>
              <w:rPr>
                <w:b/>
              </w:rPr>
              <w:t>I</w:t>
            </w:r>
            <w:r>
              <w:rPr>
                <w:b/>
                <w:vertAlign w:val="subscript"/>
              </w:rPr>
              <w:t>C</w:t>
            </w:r>
            <w:r>
              <w:rPr>
                <w:b/>
              </w:rPr>
              <w:t xml:space="preserve"> (A)</w:t>
            </w:r>
          </w:p>
        </w:tc>
        <w:tc>
          <w:tcPr>
            <w:tcW w:w="53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78"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47"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7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44"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75"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44"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83"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7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75"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7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83"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7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75"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7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83" w:type="dxa"/>
            <w:tcBorders>
              <w:top w:val="single" w:sz="4" w:space="0" w:color="000000"/>
              <w:left w:val="single" w:sz="4" w:space="0" w:color="000000"/>
              <w:bottom w:val="single" w:sz="12" w:space="0" w:color="000000"/>
              <w:right w:val="single" w:sz="12" w:space="0" w:color="000000"/>
            </w:tcBorders>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11</w:t>
      </w:r>
      <w:r>
        <w:rPr/>
        <w:fldChar w:fldCharType="end"/>
      </w:r>
      <w:r>
        <w:rPr/>
        <w:t>: Měření závislosti proudu na kmitočtu</w:t>
      </w:r>
    </w:p>
    <w:tbl>
      <w:tblPr>
        <w:tblW w:w="8535"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815"/>
        <w:gridCol w:w="542"/>
        <w:gridCol w:w="577"/>
        <w:gridCol w:w="546"/>
        <w:gridCol w:w="578"/>
        <w:gridCol w:w="542"/>
        <w:gridCol w:w="582"/>
        <w:gridCol w:w="542"/>
        <w:gridCol w:w="546"/>
        <w:gridCol w:w="544"/>
        <w:gridCol w:w="542"/>
        <w:gridCol w:w="547"/>
        <w:gridCol w:w="542"/>
        <w:gridCol w:w="546"/>
        <w:gridCol w:w="544"/>
      </w:tblGrid>
      <w:tr>
        <w:trPr/>
        <w:tc>
          <w:tcPr>
            <w:tcW w:w="815" w:type="dxa"/>
            <w:tcBorders>
              <w:top w:val="single" w:sz="12" w:space="0" w:color="000000"/>
              <w:left w:val="single" w:sz="12" w:space="0" w:color="000000"/>
              <w:bottom w:val="single" w:sz="4" w:space="0" w:color="000000"/>
              <w:right w:val="single" w:sz="4" w:space="0" w:color="000000"/>
            </w:tcBorders>
          </w:tcPr>
          <w:p>
            <w:pPr>
              <w:pStyle w:val="Normal"/>
              <w:spacing w:lineRule="auto" w:line="240" w:before="0" w:after="200"/>
              <w:jc w:val="center"/>
              <w:rPr/>
            </w:pPr>
            <w:r>
              <w:rPr>
                <w:b/>
                <w:bCs/>
              </w:rPr>
              <w:t>f (Hz)</w:t>
            </w:r>
          </w:p>
        </w:tc>
        <w:tc>
          <w:tcPr>
            <w:tcW w:w="542"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20</w:t>
            </w:r>
          </w:p>
        </w:tc>
        <w:tc>
          <w:tcPr>
            <w:tcW w:w="577"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30</w:t>
            </w:r>
          </w:p>
        </w:tc>
        <w:tc>
          <w:tcPr>
            <w:tcW w:w="546"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40</w:t>
            </w:r>
          </w:p>
        </w:tc>
        <w:tc>
          <w:tcPr>
            <w:tcW w:w="578"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50</w:t>
            </w:r>
          </w:p>
        </w:tc>
        <w:tc>
          <w:tcPr>
            <w:tcW w:w="542"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60</w:t>
            </w:r>
          </w:p>
        </w:tc>
        <w:tc>
          <w:tcPr>
            <w:tcW w:w="582"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70</w:t>
            </w:r>
          </w:p>
        </w:tc>
        <w:tc>
          <w:tcPr>
            <w:tcW w:w="542"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80</w:t>
            </w:r>
          </w:p>
        </w:tc>
        <w:tc>
          <w:tcPr>
            <w:tcW w:w="546"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90</w:t>
            </w:r>
          </w:p>
        </w:tc>
        <w:tc>
          <w:tcPr>
            <w:tcW w:w="544"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100</w:t>
            </w:r>
          </w:p>
        </w:tc>
        <w:tc>
          <w:tcPr>
            <w:tcW w:w="542"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110</w:t>
            </w:r>
          </w:p>
        </w:tc>
        <w:tc>
          <w:tcPr>
            <w:tcW w:w="547"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120</w:t>
            </w:r>
          </w:p>
        </w:tc>
        <w:tc>
          <w:tcPr>
            <w:tcW w:w="542"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130</w:t>
            </w:r>
          </w:p>
        </w:tc>
        <w:tc>
          <w:tcPr>
            <w:tcW w:w="546"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140</w:t>
            </w:r>
          </w:p>
        </w:tc>
        <w:tc>
          <w:tcPr>
            <w:tcW w:w="544" w:type="dxa"/>
            <w:tcBorders>
              <w:top w:val="single" w:sz="12" w:space="0" w:color="000000"/>
              <w:left w:val="single" w:sz="4" w:space="0" w:color="000000"/>
              <w:bottom w:val="single" w:sz="4" w:space="0" w:color="000000"/>
              <w:right w:val="single" w:sz="12" w:space="0" w:color="000000"/>
            </w:tcBorders>
          </w:tcPr>
          <w:p>
            <w:pPr>
              <w:pStyle w:val="Normal"/>
              <w:spacing w:lineRule="auto" w:line="240" w:before="0" w:after="200"/>
              <w:jc w:val="center"/>
              <w:rPr/>
            </w:pPr>
            <w:r>
              <w:rPr/>
              <w:t>150</w:t>
            </w:r>
          </w:p>
        </w:tc>
      </w:tr>
      <w:tr>
        <w:trPr/>
        <w:tc>
          <w:tcPr>
            <w:tcW w:w="815" w:type="dxa"/>
            <w:tcBorders>
              <w:top w:val="single" w:sz="4" w:space="0" w:color="000000"/>
              <w:left w:val="single" w:sz="12" w:space="0" w:color="000000"/>
              <w:bottom w:val="single" w:sz="4" w:space="0" w:color="000000"/>
              <w:right w:val="single" w:sz="4" w:space="0" w:color="000000"/>
            </w:tcBorders>
          </w:tcPr>
          <w:p>
            <w:pPr>
              <w:pStyle w:val="Normal"/>
              <w:spacing w:lineRule="auto" w:line="240" w:before="0" w:after="200"/>
              <w:jc w:val="center"/>
              <w:rPr>
                <w:b/>
                <w:bCs/>
              </w:rPr>
            </w:pPr>
            <w:r>
              <w:rPr>
                <w:b/>
              </w:rPr>
              <w:t>U</w:t>
            </w:r>
            <w:r>
              <w:rPr>
                <w:b/>
                <w:vertAlign w:val="subscript"/>
              </w:rPr>
              <w:t>C</w:t>
            </w:r>
            <w:r>
              <w:rPr>
                <w:b/>
              </w:rPr>
              <w:t xml:space="preserve"> (V)</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7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7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8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4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4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4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44" w:type="dxa"/>
            <w:tcBorders>
              <w:top w:val="single" w:sz="4" w:space="0" w:color="000000"/>
              <w:left w:val="single" w:sz="4" w:space="0" w:color="000000"/>
              <w:bottom w:val="single" w:sz="4" w:space="0" w:color="000000"/>
              <w:right w:val="single" w:sz="12" w:space="0" w:color="000000"/>
            </w:tcBorders>
          </w:tcPr>
          <w:p>
            <w:pPr>
              <w:pStyle w:val="Normal"/>
              <w:spacing w:lineRule="auto" w:line="240" w:before="0" w:after="200"/>
              <w:jc w:val="center"/>
              <w:rPr/>
            </w:pPr>
            <w:r>
              <w:rPr/>
              <w:t>4</w:t>
            </w:r>
          </w:p>
        </w:tc>
      </w:tr>
      <w:tr>
        <w:trPr/>
        <w:tc>
          <w:tcPr>
            <w:tcW w:w="815" w:type="dxa"/>
            <w:tcBorders>
              <w:top w:val="single" w:sz="4" w:space="0" w:color="000000"/>
              <w:left w:val="single" w:sz="12" w:space="0" w:color="000000"/>
              <w:bottom w:val="single" w:sz="12" w:space="0" w:color="000000"/>
              <w:right w:val="single" w:sz="4" w:space="0" w:color="000000"/>
            </w:tcBorders>
          </w:tcPr>
          <w:p>
            <w:pPr>
              <w:pStyle w:val="Normal"/>
              <w:spacing w:lineRule="auto" w:line="240" w:before="0" w:after="200"/>
              <w:jc w:val="center"/>
              <w:rPr/>
            </w:pPr>
            <w:r>
              <w:rPr>
                <w:b/>
              </w:rPr>
              <w:t>I</w:t>
            </w:r>
            <w:r>
              <w:rPr>
                <w:b/>
                <w:vertAlign w:val="subscript"/>
              </w:rPr>
              <w:t>C</w:t>
            </w:r>
            <w:r>
              <w:rPr>
                <w:b/>
              </w:rPr>
              <w:t xml:space="preserve"> (A)</w:t>
            </w:r>
          </w:p>
        </w:tc>
        <w:tc>
          <w:tcPr>
            <w:tcW w:w="542"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r>
          </w:p>
        </w:tc>
        <w:tc>
          <w:tcPr>
            <w:tcW w:w="577"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r>
          </w:p>
        </w:tc>
        <w:tc>
          <w:tcPr>
            <w:tcW w:w="546"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r>
          </w:p>
        </w:tc>
        <w:tc>
          <w:tcPr>
            <w:tcW w:w="578"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r>
          </w:p>
        </w:tc>
        <w:tc>
          <w:tcPr>
            <w:tcW w:w="542"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r>
          </w:p>
        </w:tc>
        <w:tc>
          <w:tcPr>
            <w:tcW w:w="582"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r>
          </w:p>
        </w:tc>
        <w:tc>
          <w:tcPr>
            <w:tcW w:w="542"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r>
          </w:p>
        </w:tc>
        <w:tc>
          <w:tcPr>
            <w:tcW w:w="546"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r>
          </w:p>
        </w:tc>
        <w:tc>
          <w:tcPr>
            <w:tcW w:w="544"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r>
          </w:p>
        </w:tc>
        <w:tc>
          <w:tcPr>
            <w:tcW w:w="542"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r>
          </w:p>
        </w:tc>
        <w:tc>
          <w:tcPr>
            <w:tcW w:w="547"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r>
          </w:p>
        </w:tc>
        <w:tc>
          <w:tcPr>
            <w:tcW w:w="542"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r>
          </w:p>
        </w:tc>
        <w:tc>
          <w:tcPr>
            <w:tcW w:w="546"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r>
          </w:p>
        </w:tc>
        <w:tc>
          <w:tcPr>
            <w:tcW w:w="544" w:type="dxa"/>
            <w:tcBorders>
              <w:top w:val="single" w:sz="4" w:space="0" w:color="000000"/>
              <w:left w:val="single" w:sz="4" w:space="0" w:color="000000"/>
              <w:bottom w:val="single" w:sz="12" w:space="0" w:color="000000"/>
              <w:right w:val="single" w:sz="12" w:space="0" w:color="000000"/>
            </w:tcBorders>
          </w:tcPr>
          <w:p>
            <w:pPr>
              <w:pStyle w:val="Normal"/>
              <w:spacing w:lineRule="auto" w:line="240" w:before="0" w:after="200"/>
              <w:jc w:val="center"/>
              <w:rPr/>
            </w:pPr>
            <w:r>
              <w:rPr/>
            </w:r>
          </w:p>
        </w:tc>
      </w:tr>
    </w:tbl>
    <w:p>
      <w:pPr>
        <w:pStyle w:val="Normal"/>
        <w:jc w:val="center"/>
        <w:rPr/>
      </w:pPr>
      <w:r>
        <w:rPr/>
      </w:r>
    </w:p>
    <w:p>
      <w:pPr>
        <w:pStyle w:val="Normal"/>
        <w:rPr/>
      </w:pPr>
      <w:r>
        <w:rPr/>
      </w:r>
    </w:p>
    <w:p>
      <w:pPr>
        <w:pStyle w:val="Normal"/>
        <w:rPr/>
      </w:pPr>
      <w:r>
        <w:rPr/>
        <w:t>Datum měření:……………..............................Termín: řádný – náhradní (důvod:……………………………………)</w:t>
      </w:r>
      <w:r>
        <w:rPr>
          <w:rStyle w:val="FootnoteReference"/>
        </w:rPr>
        <w:footnoteReference w:id="6"/>
      </w:r>
    </w:p>
    <w:p>
      <w:pPr>
        <w:pStyle w:val="Heading2"/>
        <w:rPr/>
      </w:pPr>
      <w:r>
        <w:rPr/>
        <w:t>Použité přístroje</w:t>
      </w:r>
    </w:p>
    <w:tbl>
      <w:tblPr>
        <w:tblStyle w:val="Mkatabulky"/>
        <w:tblW w:w="92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42"/>
        <w:gridCol w:w="1842"/>
        <w:gridCol w:w="1843"/>
        <w:gridCol w:w="1842"/>
        <w:gridCol w:w="1843"/>
      </w:tblGrid>
      <w:tr>
        <w:trPr/>
        <w:tc>
          <w:tcPr>
            <w:tcW w:w="1842"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Přístroj</w:t>
            </w:r>
          </w:p>
        </w:tc>
        <w:tc>
          <w:tcPr>
            <w:tcW w:w="1842"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Typ</w:t>
            </w:r>
          </w:p>
        </w:tc>
        <w:tc>
          <w:tcPr>
            <w:tcW w:w="184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Výrobní číslo</w:t>
            </w:r>
          </w:p>
        </w:tc>
        <w:tc>
          <w:tcPr>
            <w:tcW w:w="1842"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Inventární číslo</w:t>
            </w:r>
          </w:p>
        </w:tc>
        <w:tc>
          <w:tcPr>
            <w:tcW w:w="1843"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Poznámka</w:t>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generátor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ampérmetr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voltmetr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kondenzátory</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kabely</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LCR můstek</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bl>
    <w:p>
      <w:pPr>
        <w:pStyle w:val="Normal"/>
        <w:rPr/>
      </w:pPr>
      <w:r>
        <w:rPr/>
      </w:r>
    </w:p>
    <w:p>
      <w:pPr>
        <w:pStyle w:val="Heading3"/>
        <w:rPr/>
      </w:pPr>
      <w:r>
        <w:rPr/>
        <w:t>Poznámky</w:t>
      </w:r>
    </w:p>
    <w:p>
      <w:pPr>
        <w:pStyle w:val="Normal"/>
        <w:rPr/>
      </w:pPr>
      <w:r>
        <w:rPr/>
      </w:r>
    </w:p>
    <w:p>
      <w:pPr>
        <w:pStyle w:val="Heading3"/>
        <w:rPr/>
      </w:pPr>
      <w:r>
        <w:rPr/>
        <w:t>Verifikace</w:t>
      </w:r>
    </w:p>
    <w:p>
      <w:pPr>
        <w:pStyle w:val="Normal"/>
        <w:rPr/>
      </w:pPr>
      <w:r>
        <w:rPr/>
        <w:t>Podpis vyučujícího:………………………………………………………………………………………………………………………………</w:t>
      </w:r>
    </w:p>
    <w:p>
      <w:pPr>
        <w:pStyle w:val="Normal"/>
        <w:rPr/>
      </w:pPr>
      <w:r>
        <w:rPr/>
      </w:r>
    </w:p>
    <w:p>
      <w:pPr>
        <w:pStyle w:val="Normal"/>
        <w:rPr/>
      </w:pPr>
      <w:r>
        <w:rPr/>
      </w:r>
    </w:p>
    <w:p>
      <w:pPr>
        <w:pStyle w:val="Normal"/>
        <w:widowControl/>
        <w:bidi w:val="0"/>
        <w:spacing w:lineRule="auto" w:line="276" w:before="0" w:after="200"/>
        <w:jc w:val="both"/>
        <w:rPr/>
      </w:pPr>
      <w:r>
        <w:rPr/>
      </w:r>
    </w:p>
    <w:sectPr>
      <w:headerReference w:type="default" r:id="rId6"/>
      <w:footerReference w:type="default" r:id="rId7"/>
      <w:footnotePr>
        <w:numFmt w:val="decimal"/>
      </w:footnotePr>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 w:name="DejaVu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056971"/>
    </w:sdtPr>
    <w:sdtContent>
      <w:p>
        <w:pPr>
          <w:pStyle w:val="Footer"/>
          <w:jc w:val="center"/>
          <w:rPr/>
        </w:pPr>
        <w:r>
          <w:rPr/>
          <w:fldChar w:fldCharType="begin"/>
        </w:r>
        <w:r>
          <w:rPr/>
          <w:instrText xml:space="preserve"> PAGE </w:instrText>
        </w:r>
        <w:r>
          <w:rPr/>
          <w:fldChar w:fldCharType="separate"/>
        </w:r>
        <w:r>
          <w:rPr/>
          <w:t>13</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Znakypropoznmkupodarou"/>
        </w:rPr>
        <w:footnoteRef/>
      </w:r>
      <w:r>
        <w:rPr/>
        <w:t xml:space="preserve"> </w:t>
      </w:r>
      <w:r>
        <w:rPr/>
        <w:t>Ústní přezkoušení prověřuje připravenost studenta. Nepřipravený student získá 0 bodů, obdrží náhradní práci, laboratorní úlohu měří po dohodě s vyučujícím v náhradním termínu. Pro náhradní termíny zůstává bodový stav 0, připravenost je již jen podmínkou k připuštění studenta k vlastnímu měření. Termín pro odevzdání protokolu se počítá od řádného termínu laboratorního cvičení.</w:t>
      </w:r>
    </w:p>
  </w:footnote>
  <w:footnote w:id="3">
    <w:p>
      <w:pPr>
        <w:pStyle w:val="FootnoteText"/>
        <w:rPr/>
      </w:pPr>
      <w:r>
        <w:rPr>
          <w:rStyle w:val="Znakypropoznmkupodarou"/>
        </w:rPr>
        <w:footnoteRef/>
      </w:r>
      <w:r>
        <w:rPr/>
        <w:t xml:space="preserve"> </w:t>
      </w:r>
      <w:r>
        <w:rPr/>
        <w:t>Údaj v kolonce získané body platí pouze s vyplněním data, kdy konzultace proběhla, vyučující potvrdil konzultaci svým podpisem.</w:t>
      </w:r>
    </w:p>
  </w:footnote>
  <w:footnote w:id="4">
    <w:p>
      <w:pPr>
        <w:pStyle w:val="FootnoteText"/>
        <w:rPr/>
      </w:pPr>
      <w:r>
        <w:rPr>
          <w:rStyle w:val="Znakypropoznmkupodarou"/>
        </w:rPr>
        <w:footnoteRef/>
      </w:r>
      <w:r>
        <w:rPr/>
        <w:t xml:space="preserve"> </w:t>
      </w:r>
      <w:r>
        <w:rPr/>
        <w:t xml:space="preserve">Obhajoba je ústní (s přípravou) nebo písemná, povinná. Student, který neprokáže znalost problematiky, nezískává body, úloha je hodnocena </w:t>
      </w:r>
      <w:r>
        <w:rPr>
          <w:b/>
        </w:rPr>
        <w:t>NEDOSTATEČNĚ!</w:t>
      </w:r>
    </w:p>
  </w:footnote>
  <w:footnote w:id="5">
    <w:p>
      <w:pPr>
        <w:pStyle w:val="FootnoteText"/>
        <w:rPr/>
      </w:pPr>
      <w:r>
        <w:rPr>
          <w:rStyle w:val="Znakypropoznmkupodarou"/>
        </w:rPr>
        <w:footnoteRef/>
      </w:r>
      <w:r>
        <w:rPr/>
        <w:t xml:space="preserve"> </w:t>
      </w:r>
      <w:r>
        <w:rPr/>
        <w:t>V případě neuzavření klasifikace protokolu v řádném termínu je postupováno dle pravidel pro odevzdávání protokolů, jejichž znalost student potvrdil svým podpisem.</w:t>
      </w:r>
    </w:p>
  </w:footnote>
  <w:footnote w:id="6">
    <w:p>
      <w:pPr>
        <w:pStyle w:val="FootnoteText"/>
        <w:rPr/>
      </w:pPr>
      <w:r>
        <w:rPr>
          <w:rStyle w:val="Znakypropoznmkupodarou"/>
        </w:rPr>
        <w:footnoteRef/>
      </w:r>
      <w:r>
        <w:rPr/>
        <w:t xml:space="preserve"> </w:t>
      </w:r>
      <w:r>
        <w:rPr/>
        <w:t>Nehodící se škrtněte!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rPr>
    </w:pPr>
    <w:r>
      <w:rPr>
        <w:b/>
      </w:rPr>
      <w:t>Vyšší odborná škola a Střední průmyslová škola strojní, stavební a dopravní, Děčín</w:t>
    </w:r>
  </w:p>
  <w:p>
    <w:pPr>
      <w:pStyle w:val="Header"/>
      <w:jc w:val="center"/>
      <w:rPr>
        <w:b/>
      </w:rPr>
    </w:pPr>
    <w:r>
      <w:rPr>
        <w:b/>
      </w:rPr>
    </w:r>
  </w:p>
  <w:p>
    <w:pPr>
      <w:pStyle w:val="Header"/>
      <w:jc w:val="center"/>
      <w:rPr>
        <w:b/>
      </w:rPr>
    </w:pPr>
    <w:r>
      <w:rPr>
        <w:b/>
      </w:rPr>
      <w:t>Elektrická měření – laboratorní cvičení</w:t>
    </w:r>
  </w:p>
  <w:p>
    <w:pPr>
      <w:pStyle w:val="Header"/>
      <w:jc w:val="center"/>
      <w:rPr>
        <w:b/>
      </w:rPr>
    </w:pPr>
    <w:r>
      <w:rPr>
        <w:b/>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2"/>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b2795"/>
    <w:pPr>
      <w:widowControl/>
      <w:suppressAutoHyphens w:val="true"/>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Heading1">
    <w:name w:val="Heading 1"/>
    <w:basedOn w:val="Normal"/>
    <w:next w:val="Normal"/>
    <w:link w:val="Nadpis1Char"/>
    <w:uiPriority w:val="9"/>
    <w:qFormat/>
    <w:rsid w:val="00fb6fae"/>
    <w:pPr>
      <w:keepNext w:val="true"/>
      <w:keepLines/>
      <w:spacing w:before="480" w:after="0"/>
      <w:outlineLvl w:val="0"/>
    </w:pPr>
    <w:rPr>
      <w:rFonts w:ascii="Cambria" w:hAnsi="Cambria" w:eastAsia="" w:cs="" w:asciiTheme="majorHAnsi" w:cstheme="majorBidi" w:eastAsiaTheme="majorEastAsia" w:hAnsiTheme="majorHAnsi"/>
      <w:b/>
      <w:bCs/>
      <w:sz w:val="28"/>
      <w:szCs w:val="28"/>
    </w:rPr>
  </w:style>
  <w:style w:type="paragraph" w:styleId="Heading2">
    <w:name w:val="Heading 2"/>
    <w:basedOn w:val="Normal"/>
    <w:next w:val="Normal"/>
    <w:link w:val="Nadpis2Char"/>
    <w:uiPriority w:val="9"/>
    <w:unhideWhenUsed/>
    <w:qFormat/>
    <w:rsid w:val="00fb6fae"/>
    <w:pPr>
      <w:keepNext w:val="true"/>
      <w:keepLines/>
      <w:spacing w:before="200" w:after="0"/>
      <w:outlineLvl w:val="1"/>
    </w:pPr>
    <w:rPr>
      <w:rFonts w:ascii="Cambria" w:hAnsi="Cambria" w:eastAsia="" w:cs="" w:asciiTheme="majorHAnsi" w:cstheme="majorBidi" w:eastAsiaTheme="majorEastAsia" w:hAnsiTheme="majorHAnsi"/>
      <w:b/>
      <w:bCs/>
      <w:sz w:val="26"/>
      <w:szCs w:val="26"/>
    </w:rPr>
  </w:style>
  <w:style w:type="paragraph" w:styleId="Heading3">
    <w:name w:val="Heading 3"/>
    <w:basedOn w:val="Normal"/>
    <w:next w:val="Normal"/>
    <w:link w:val="Nadpis3Char"/>
    <w:uiPriority w:val="9"/>
    <w:unhideWhenUsed/>
    <w:qFormat/>
    <w:rsid w:val="00e4507b"/>
    <w:pPr>
      <w:keepNext w:val="true"/>
      <w:keepLines/>
      <w:spacing w:before="200" w:after="0"/>
      <w:outlineLvl w:val="2"/>
    </w:pPr>
    <w:rPr>
      <w:rFonts w:ascii="Cambria" w:hAnsi="Cambria" w:eastAsia="" w:cs="" w:asciiTheme="majorHAnsi" w:cstheme="majorBidi" w:eastAsiaTheme="majorEastAsia" w:hAnsiTheme="majorHAnsi"/>
      <w:b/>
      <w:bCs/>
    </w:rPr>
  </w:style>
  <w:style w:type="paragraph" w:styleId="Heading4">
    <w:name w:val="Heading 4"/>
    <w:basedOn w:val="Normal"/>
    <w:next w:val="Normal"/>
    <w:link w:val="Nadpis4Char"/>
    <w:uiPriority w:val="9"/>
    <w:unhideWhenUsed/>
    <w:qFormat/>
    <w:rsid w:val="008b2795"/>
    <w:pPr>
      <w:keepNext w:val="true"/>
      <w:keepLines/>
      <w:spacing w:before="200" w:after="0"/>
      <w:outlineLvl w:val="3"/>
    </w:pPr>
    <w:rPr>
      <w:rFonts w:ascii="Cambria" w:hAnsi="Cambria" w:eastAsia="" w:cs="" w:asciiTheme="majorHAnsi" w:cstheme="majorBidi" w:eastAsiaTheme="majorEastAsia" w:hAnsiTheme="majorHAnsi"/>
      <w:b/>
      <w:bCs/>
      <w:i/>
      <w:iCs/>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uiPriority w:val="9"/>
    <w:qFormat/>
    <w:rsid w:val="00fb6fae"/>
    <w:rPr>
      <w:rFonts w:ascii="Cambria" w:hAnsi="Cambria" w:eastAsia="" w:cs="" w:asciiTheme="majorHAnsi" w:cstheme="majorBidi" w:eastAsiaTheme="majorEastAsia" w:hAnsiTheme="majorHAnsi"/>
      <w:b/>
      <w:bCs/>
      <w:sz w:val="28"/>
      <w:szCs w:val="28"/>
    </w:rPr>
  </w:style>
  <w:style w:type="character" w:styleId="Nadpis2Char" w:customStyle="1">
    <w:name w:val="Nadpis 2 Char"/>
    <w:basedOn w:val="DefaultParagraphFont"/>
    <w:uiPriority w:val="9"/>
    <w:qFormat/>
    <w:rsid w:val="00fb6fae"/>
    <w:rPr>
      <w:rFonts w:ascii="Cambria" w:hAnsi="Cambria" w:eastAsia="" w:cs="" w:asciiTheme="majorHAnsi" w:cstheme="majorBidi" w:eastAsiaTheme="majorEastAsia" w:hAnsiTheme="majorHAnsi"/>
      <w:b/>
      <w:bCs/>
      <w:sz w:val="26"/>
      <w:szCs w:val="26"/>
    </w:rPr>
  </w:style>
  <w:style w:type="character" w:styleId="Nadpis3Char" w:customStyle="1">
    <w:name w:val="Nadpis 3 Char"/>
    <w:basedOn w:val="DefaultParagraphFont"/>
    <w:uiPriority w:val="9"/>
    <w:qFormat/>
    <w:rsid w:val="00e4507b"/>
    <w:rPr>
      <w:rFonts w:ascii="Cambria" w:hAnsi="Cambria" w:eastAsia="" w:cs="" w:asciiTheme="majorHAnsi" w:cstheme="majorBidi" w:eastAsiaTheme="majorEastAsia" w:hAnsiTheme="majorHAnsi"/>
      <w:b/>
      <w:bCs/>
    </w:rPr>
  </w:style>
  <w:style w:type="character" w:styleId="TextpoznpodarouChar" w:customStyle="1">
    <w:name w:val="Text pozn. pod čarou Char"/>
    <w:basedOn w:val="DefaultParagraphFont"/>
    <w:uiPriority w:val="99"/>
    <w:semiHidden/>
    <w:qFormat/>
    <w:rsid w:val="00e4507b"/>
    <w:rPr>
      <w:sz w:val="20"/>
      <w:szCs w:val="20"/>
    </w:rPr>
  </w:style>
  <w:style w:type="character" w:styleId="Znakypropoznmkupodarou">
    <w:name w:val="Znaky pro poznámku pod čarou"/>
    <w:uiPriority w:val="99"/>
    <w:semiHidden/>
    <w:unhideWhenUsed/>
    <w:qFormat/>
    <w:rsid w:val="00e4507b"/>
    <w:rPr>
      <w:vertAlign w:val="superscript"/>
    </w:rPr>
  </w:style>
  <w:style w:type="character" w:styleId="FootnoteReference">
    <w:name w:val="Footnote Reference"/>
    <w:rPr>
      <w:vertAlign w:val="superscript"/>
    </w:rPr>
  </w:style>
  <w:style w:type="character" w:styleId="TextbublinyChar" w:customStyle="1">
    <w:name w:val="Text bubliny Char"/>
    <w:basedOn w:val="DefaultParagraphFont"/>
    <w:link w:val="BalloonText"/>
    <w:uiPriority w:val="99"/>
    <w:semiHidden/>
    <w:qFormat/>
    <w:rsid w:val="00ab58d6"/>
    <w:rPr>
      <w:rFonts w:ascii="Tahoma" w:hAnsi="Tahoma" w:cs="Tahoma"/>
      <w:sz w:val="16"/>
      <w:szCs w:val="16"/>
    </w:rPr>
  </w:style>
  <w:style w:type="character" w:styleId="ZhlavChar" w:customStyle="1">
    <w:name w:val="Záhlaví Char"/>
    <w:basedOn w:val="DefaultParagraphFont"/>
    <w:uiPriority w:val="99"/>
    <w:qFormat/>
    <w:rsid w:val="008c22fe"/>
    <w:rPr/>
  </w:style>
  <w:style w:type="character" w:styleId="ZpatChar" w:customStyle="1">
    <w:name w:val="Zápatí Char"/>
    <w:basedOn w:val="DefaultParagraphFont"/>
    <w:uiPriority w:val="99"/>
    <w:qFormat/>
    <w:rsid w:val="008c22fe"/>
    <w:rPr/>
  </w:style>
  <w:style w:type="character" w:styleId="Nadpis4Char" w:customStyle="1">
    <w:name w:val="Nadpis 4 Char"/>
    <w:basedOn w:val="DefaultParagraphFont"/>
    <w:uiPriority w:val="9"/>
    <w:qFormat/>
    <w:rsid w:val="008b2795"/>
    <w:rPr>
      <w:rFonts w:ascii="Cambria" w:hAnsi="Cambria" w:eastAsia="" w:cs="" w:asciiTheme="majorHAnsi" w:cstheme="majorBidi" w:eastAsiaTheme="majorEastAsia" w:hAnsiTheme="majorHAnsi"/>
      <w:b/>
      <w:bCs/>
      <w:i/>
      <w:iCs/>
    </w:rPr>
  </w:style>
  <w:style w:type="character" w:styleId="ZkladntextChar" w:customStyle="1">
    <w:name w:val="Základní text Char"/>
    <w:basedOn w:val="DefaultParagraphFont"/>
    <w:semiHidden/>
    <w:qFormat/>
    <w:rsid w:val="00892f6a"/>
    <w:rPr>
      <w:rFonts w:ascii="Times New Roman" w:hAnsi="Times New Roman" w:eastAsia="Times New Roman" w:cs="Times New Roman"/>
      <w:sz w:val="24"/>
      <w:szCs w:val="24"/>
      <w:lang w:eastAsia="cs-CZ"/>
    </w:rPr>
  </w:style>
  <w:style w:type="character" w:styleId="Znakyprovysvtlivky">
    <w:name w:val="Znaky pro vysvětlivky"/>
    <w:qFormat/>
    <w:rPr>
      <w:vertAlign w:val="superscript"/>
    </w:rPr>
  </w:style>
  <w:style w:type="character" w:styleId="EndnoteReference">
    <w:name w:val="Endnote Reference"/>
    <w:rPr>
      <w:vertAlign w:val="superscript"/>
    </w:rPr>
  </w:style>
  <w:style w:type="character" w:styleId="Hyperlink">
    <w:name w:val="Hyperlink"/>
    <w:rPr>
      <w:color w:val="000080"/>
      <w:u w:val="single"/>
    </w:rPr>
  </w:style>
  <w:style w:type="paragraph" w:styleId="Nadpis">
    <w:name w:val="Nadpis"/>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ZkladntextChar"/>
    <w:semiHidden/>
    <w:rsid w:val="00892f6a"/>
    <w:pPr>
      <w:spacing w:lineRule="auto" w:line="360" w:before="0" w:after="120"/>
    </w:pPr>
    <w:rPr>
      <w:rFonts w:ascii="Times New Roman" w:hAnsi="Times New Roman" w:eastAsia="Times New Roman" w:cs="Times New Roman"/>
      <w:sz w:val="24"/>
      <w:szCs w:val="24"/>
      <w:lang w:eastAsia="cs-CZ"/>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FootnoteText">
    <w:name w:val="Footnote Text"/>
    <w:basedOn w:val="Normal"/>
    <w:link w:val="TextpoznpodarouChar"/>
    <w:uiPriority w:val="99"/>
    <w:semiHidden/>
    <w:unhideWhenUsed/>
    <w:rsid w:val="00e4507b"/>
    <w:pPr>
      <w:spacing w:lineRule="auto" w:line="240" w:before="0" w:after="0"/>
    </w:pPr>
    <w:rPr>
      <w:sz w:val="20"/>
      <w:szCs w:val="20"/>
    </w:rPr>
  </w:style>
  <w:style w:type="paragraph" w:styleId="ListParagraph">
    <w:name w:val="List Paragraph"/>
    <w:basedOn w:val="Normal"/>
    <w:uiPriority w:val="34"/>
    <w:qFormat/>
    <w:rsid w:val="00e4507b"/>
    <w:pPr>
      <w:spacing w:before="0" w:after="200"/>
      <w:ind w:left="720"/>
      <w:contextualSpacing/>
    </w:pPr>
    <w:rPr/>
  </w:style>
  <w:style w:type="paragraph" w:styleId="BalloonText">
    <w:name w:val="Balloon Text"/>
    <w:basedOn w:val="Normal"/>
    <w:link w:val="TextbublinyChar"/>
    <w:uiPriority w:val="99"/>
    <w:semiHidden/>
    <w:unhideWhenUsed/>
    <w:qFormat/>
    <w:rsid w:val="00ab58d6"/>
    <w:pPr>
      <w:spacing w:lineRule="auto" w:line="240" w:before="0" w:after="0"/>
    </w:pPr>
    <w:rPr>
      <w:rFonts w:ascii="Tahoma" w:hAnsi="Tahoma" w:cs="Tahoma"/>
      <w:sz w:val="16"/>
      <w:szCs w:val="16"/>
    </w:rPr>
  </w:style>
  <w:style w:type="paragraph" w:styleId="Caption1">
    <w:name w:val="caption1"/>
    <w:basedOn w:val="Normal"/>
    <w:next w:val="Normal"/>
    <w:uiPriority w:val="35"/>
    <w:unhideWhenUsed/>
    <w:qFormat/>
    <w:rsid w:val="00190d18"/>
    <w:pPr>
      <w:spacing w:lineRule="auto" w:line="240"/>
    </w:pPr>
    <w:rPr>
      <w:b/>
      <w:bCs/>
      <w:color w:themeColor="accent1" w:val="4F81BD"/>
      <w:sz w:val="18"/>
      <w:szCs w:val="18"/>
    </w:rPr>
  </w:style>
  <w:style w:type="paragraph" w:styleId="Zhlavazpat">
    <w:name w:val="Záhlaví a zápatí"/>
    <w:basedOn w:val="Normal"/>
    <w:qFormat/>
    <w:pPr/>
    <w:rPr/>
  </w:style>
  <w:style w:type="paragraph" w:styleId="Header">
    <w:name w:val="Header"/>
    <w:basedOn w:val="Normal"/>
    <w:link w:val="ZhlavChar"/>
    <w:uiPriority w:val="99"/>
    <w:unhideWhenUsed/>
    <w:rsid w:val="008c22fe"/>
    <w:pPr>
      <w:tabs>
        <w:tab w:val="clear" w:pos="708"/>
        <w:tab w:val="center" w:pos="4536" w:leader="none"/>
        <w:tab w:val="right" w:pos="9072" w:leader="none"/>
      </w:tabs>
      <w:spacing w:lineRule="auto" w:line="240" w:before="0" w:after="0"/>
    </w:pPr>
    <w:rPr/>
  </w:style>
  <w:style w:type="paragraph" w:styleId="Footer">
    <w:name w:val="Footer"/>
    <w:basedOn w:val="Normal"/>
    <w:link w:val="ZpatChar"/>
    <w:uiPriority w:val="99"/>
    <w:unhideWhenUsed/>
    <w:rsid w:val="008c22fe"/>
    <w:pPr>
      <w:tabs>
        <w:tab w:val="clear" w:pos="708"/>
        <w:tab w:val="center" w:pos="4536" w:leader="none"/>
        <w:tab w:val="right" w:pos="9072" w:leader="none"/>
      </w:tabs>
      <w:spacing w:lineRule="auto" w:line="240" w:before="0" w:after="0"/>
    </w:pPr>
    <w:rPr/>
  </w:style>
  <w:style w:type="paragraph" w:styleId="Obsahrmce">
    <w:name w:val="Obsah rámce"/>
    <w:basedOn w:val="Normal"/>
    <w:qFormat/>
    <w:pPr/>
    <w:rPr/>
  </w:style>
  <w:style w:type="paragraph" w:styleId="Obsahtabulky">
    <w:name w:val="Obsah tabulky"/>
    <w:basedOn w:val="Normal"/>
    <w:qFormat/>
    <w:pPr>
      <w:widowControl w:val="false"/>
      <w:suppressLineNumbers/>
    </w:pPr>
    <w:rPr/>
  </w:style>
  <w:style w:type="paragraph" w:styleId="Nadpistabulky">
    <w:name w:val="Nadpis tabulky"/>
    <w:basedOn w:val="Obsahtabulky"/>
    <w:qFormat/>
    <w:pPr>
      <w:suppressLineNumbers/>
      <w:jc w:val="center"/>
    </w:pPr>
    <w:rPr>
      <w:b/>
      <w:bCs/>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 w:type="table" w:styleId="Mkatabulky">
    <w:name w:val="Table Grid"/>
    <w:basedOn w:val="Normlntabulka"/>
    <w:uiPriority w:val="59"/>
    <w:rsid w:val="00f32a0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iv sady Office">
  <a:themeElements>
    <a:clrScheme name="Kancelář">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1809C2-DEA3-417D-8B55-27A33D387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sablona_lab_cv_2012</Template>
  <TotalTime>90</TotalTime>
  <Application>LibreOffice/7.6.4.1$Linux_X86_64 LibreOffice_project/60$Build-1</Application>
  <AppVersion>15.0000</AppVersion>
  <Pages>13</Pages>
  <Words>2007</Words>
  <Characters>11957</Characters>
  <CharactersWithSpaces>13471</CharactersWithSpaces>
  <Paragraphs>477</Paragraphs>
  <Company>VOŠ a SPŠ Varnsdorf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2022-03-04T20:24:00Z</dcterms:created>
  <dc:creator>pietschmann</dc:creator>
  <dc:description/>
  <dc:language>cs-CZ</dc:language>
  <cp:lastModifiedBy>Vojtěch Vašek</cp:lastModifiedBy>
  <cp:lastPrinted>2022-03-04T20:24:00Z</cp:lastPrinted>
  <dcterms:modified xsi:type="dcterms:W3CDTF">2024-02-09T19:52:55Z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