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Měření parametrů vzduchové cívky (opravit relativní chybu OM: 100x …..)</w:t>
      </w:r>
    </w:p>
    <w:p>
      <w:pPr>
        <w:pStyle w:val="Normal"/>
        <w:rPr/>
      </w:pPr>
      <w:r>
        <w:rPr/>
      </w:r>
    </w:p>
    <w:p>
      <w:pPr>
        <w:pStyle w:val="Heading2"/>
        <w:rPr/>
      </w:pPr>
      <w:r>
        <w:rPr/>
        <w:t>Úkol měření</w:t>
      </w:r>
    </w:p>
    <w:p>
      <w:pPr>
        <w:pStyle w:val="ListParagraph"/>
        <w:numPr>
          <w:ilvl w:val="0"/>
          <w:numId w:val="1"/>
        </w:numPr>
        <w:rPr/>
      </w:pPr>
      <w:r>
        <w:rPr/>
        <w:t>V rámci domácí přípravy zopakujte problematiku magnetického pole.</w:t>
      </w:r>
    </w:p>
    <w:p>
      <w:pPr>
        <w:pStyle w:val="ListParagraph"/>
        <w:numPr>
          <w:ilvl w:val="0"/>
          <w:numId w:val="1"/>
        </w:numPr>
        <w:rPr/>
      </w:pPr>
      <w:r>
        <w:rPr/>
        <w:t>V rámci domácí přípravy nastudujte problematiku měření indukčnosti.</w:t>
      </w:r>
    </w:p>
    <w:p>
      <w:pPr>
        <w:pStyle w:val="ListParagraph"/>
        <w:numPr>
          <w:ilvl w:val="0"/>
          <w:numId w:val="1"/>
        </w:numPr>
        <w:rPr/>
      </w:pPr>
      <w:r>
        <w:rPr/>
        <w:t>Změřte indukčnost a ohmický (činný) odpor vzduchové cívky Ohmovou metodou.</w:t>
      </w:r>
    </w:p>
    <w:p>
      <w:pPr>
        <w:pStyle w:val="ListParagraph"/>
        <w:numPr>
          <w:ilvl w:val="0"/>
          <w:numId w:val="1"/>
        </w:numPr>
        <w:rPr/>
      </w:pPr>
      <w:r>
        <w:rPr/>
        <w:t>Změřte indukčnost a ohmický odpor cívky rezonanční metodou.</w:t>
      </w:r>
    </w:p>
    <w:p>
      <w:pPr>
        <w:pStyle w:val="ListParagraph"/>
        <w:numPr>
          <w:ilvl w:val="0"/>
          <w:numId w:val="1"/>
        </w:numPr>
        <w:rPr/>
      </w:pPr>
      <w:r>
        <w:rPr/>
        <w:t>Změřte indukčnost a ohmický odpor RLC můstkem.</w:t>
      </w:r>
    </w:p>
    <w:p>
      <w:pPr>
        <w:pStyle w:val="ListParagraph"/>
        <w:numPr>
          <w:ilvl w:val="0"/>
          <w:numId w:val="1"/>
        </w:numPr>
        <w:rPr/>
      </w:pPr>
      <w:r>
        <w:rPr/>
        <w:t xml:space="preserve">Vypočítejte činitel jakosti cívky </w:t>
      </w:r>
      <w:r>
        <w:rPr>
          <w:i/>
          <w:iCs/>
        </w:rPr>
        <w:t>Q</w:t>
      </w:r>
      <w:r>
        <w:rPr>
          <w:vertAlign w:val="subscript"/>
        </w:rPr>
        <w:t>V</w:t>
      </w:r>
      <w:r>
        <w:rPr/>
        <w:t xml:space="preserve"> a porovnejte ho s naměřeným činitelem jakosti </w:t>
      </w:r>
      <w:r>
        <w:rPr>
          <w:i/>
          <w:iCs/>
        </w:rPr>
        <w:t>Q</w:t>
      </w:r>
      <w:r>
        <w:rPr>
          <w:vertAlign w:val="subscript"/>
        </w:rPr>
        <w:t>N</w:t>
      </w:r>
      <w:r>
        <w:rPr/>
        <w:t>.</w:t>
      </w:r>
    </w:p>
    <w:p>
      <w:pPr>
        <w:pStyle w:val="ListParagraph"/>
        <w:numPr>
          <w:ilvl w:val="0"/>
          <w:numId w:val="1"/>
        </w:numPr>
        <w:rPr/>
      </w:pPr>
      <w:r>
        <w:rPr/>
        <w:t>Zhodnoťte chyby měření měřicích přístrojů a jejich vliv na celkové chyby jednotlivých, porovnejte výsledky obou metod, proveďte srovnání s vypočtenými hodnotami.</w:t>
      </w:r>
    </w:p>
    <w:p>
      <w:pPr>
        <w:pStyle w:val="ListParagraph"/>
        <w:numPr>
          <w:ilvl w:val="0"/>
          <w:numId w:val="1"/>
        </w:numPr>
        <w:rPr/>
      </w:pPr>
      <w:r>
        <w:rPr/>
        <w:t>U vybraných naměřených a vypočtených hodnot vypočtěte chyby měření.</w:t>
      </w:r>
    </w:p>
    <w:p>
      <w:pPr>
        <w:pStyle w:val="ListParagraph"/>
        <w:numPr>
          <w:ilvl w:val="0"/>
          <w:numId w:val="1"/>
        </w:numPr>
        <w:rPr/>
      </w:pPr>
      <w:r>
        <w:rPr/>
        <w:t>Zhodnoťte celkové chyby měření provedených metod, srovnejte se systematickými chybami.</w:t>
      </w:r>
    </w:p>
    <w:p>
      <w:pPr>
        <w:pStyle w:val="Normal"/>
        <w:rPr/>
      </w:pPr>
      <w:r>
        <w:rPr/>
      </w:r>
    </w:p>
    <w:p>
      <w:pPr>
        <w:pStyle w:val="Heading2"/>
        <w:rPr/>
      </w:pPr>
      <w:r>
        <w:rPr/>
        <w:t>Obecná část</w:t>
      </w:r>
    </w:p>
    <w:p>
      <w:pPr>
        <w:pStyle w:val="Heading3"/>
        <w:rPr/>
      </w:pPr>
      <w:r>
        <w:rPr/>
        <w:t>Ohmova metoda</w:t>
      </w:r>
    </w:p>
    <w:p>
      <w:pPr>
        <w:pStyle w:val="Normal"/>
        <w:rPr/>
      </w:pPr>
      <w:r>
        <w:rPr/>
        <w:t>Provádíme-li informativní měření indukčnosti Ohmovou metodou, lze ohmický odpor vinutí (odpor vodiče, z něhož je cívka navinuta) zanedbat. Zanedbání můžeme provést pouze u cívek s velkým průřezem vodiče a nízkým počtem závitů (ohmický odpor je zde malý), v opačném případě nám vzniká na ohmickém odporu relativně velký úbytek napětí, jenž nám zhoršuje přesnost měření. Případné možné zanedbání zjednoduší jak samotné měření, tak i následné výpočty. Obecně musíme brát odpor v úvahu.</w:t>
      </w:r>
    </w:p>
    <w:p>
      <w:pPr>
        <w:pStyle w:val="Normal"/>
        <w:rPr/>
      </w:pPr>
      <w:r>
        <w:rPr/>
        <w:t>Odpor měříme nepřímo, Ohmovou metodou (první schéma v prvním obrázku). Induktivní reaktance závisí lineárně na kmitočtu, takže se při stejnosměrném napájení v ustáleném stavu neprojevuje. Činný odpor je tak dán vztahem:</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SS</m:t>
                  </m:r>
                </m:sub>
              </m:sSub>
            </m:num>
            <m:den>
              <m:sSub>
                <m:e>
                  <m:r>
                    <w:rPr>
                      <w:rFonts w:ascii="Cambria Math" w:hAnsi="Cambria Math"/>
                    </w:rPr>
                    <m:t xml:space="preserve">I</m:t>
                  </m:r>
                </m:e>
                <m:sub>
                  <m:r>
                    <m:rPr>
                      <m:lit/>
                      <m:nor/>
                    </m:rPr>
                    <w:rPr>
                      <w:rFonts w:ascii="Cambria Math" w:hAnsi="Cambria Math"/>
                    </w:rPr>
                    <m:t xml:space="preserve">SS</m:t>
                  </m:r>
                </m:sub>
              </m:sSub>
            </m:den>
          </m:f>
        </m:oMath>
      </m:oMathPara>
    </w:p>
    <w:p>
      <w:pPr>
        <w:pStyle w:val="Normal"/>
        <w:rPr/>
      </w:pPr>
      <w:r>
        <w:rPr/>
        <w:t>Pro lepší přesnost určení odporu je možné eliminovat chybu metody způsobenou spotřebou voltmetru všeobecně známým způsobem.</w:t>
      </w:r>
    </w:p>
    <w:p>
      <w:pPr>
        <w:pStyle w:val="Normal"/>
        <w:rPr/>
      </w:pPr>
      <w:r>
        <w:rPr/>
        <w:t>Potom připojíme cívku na střídavý napájecí zdroj (generátor). Při harmonickém budícím signálu je velikost impedance dána z Ohmova zákona:</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d>
            <m:dPr>
              <m:begChr m:val="|"/>
              <m:endChr m:val="|"/>
            </m:dPr>
            <m:e>
              <m:r>
                <w:rPr>
                  <w:rFonts w:ascii="Cambria Math" w:hAnsi="Cambria Math"/>
                </w:rPr>
                <m:t xml:space="preserve">Z</m:t>
              </m:r>
            </m:e>
          </m:d>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STŘ</m:t>
                  </m:r>
                </m:sub>
              </m:sSub>
            </m:num>
            <m:den>
              <m:sSub>
                <m:e>
                  <m:r>
                    <w:rPr>
                      <w:rFonts w:ascii="Cambria Math" w:hAnsi="Cambria Math"/>
                    </w:rPr>
                    <m:t xml:space="preserve">I</m:t>
                  </m:r>
                </m:e>
                <m:sub>
                  <m:r>
                    <m:rPr>
                      <m:lit/>
                      <m:nor/>
                    </m:rPr>
                    <w:rPr>
                      <w:rFonts w:ascii="Cambria Math" w:hAnsi="Cambria Math"/>
                    </w:rPr>
                    <m:t xml:space="preserve">STŘ</m:t>
                  </m:r>
                </m:sub>
              </m:sSub>
            </m:den>
          </m:f>
        </m:oMath>
      </m:oMathPara>
    </w:p>
    <w:p>
      <w:pPr>
        <w:pStyle w:val="Normal"/>
        <w:rPr/>
      </w:pPr>
      <w:r>
        <w:rPr/>
        <w:t>a současně ztrátovým odporem cívky a její reaktancí: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X</m:t>
                  </m:r>
                </m:e>
                <m:sub>
                  <m:r>
                    <w:rPr>
                      <w:rFonts w:ascii="Cambria Math" w:hAnsi="Cambria Math"/>
                    </w:rPr>
                    <m:t xml:space="preserve">L</m:t>
                  </m:r>
                </m:sub>
                <m:sup>
                  <m:r>
                    <w:rPr>
                      <w:rFonts w:ascii="Cambria Math" w:hAnsi="Cambria Math"/>
                    </w:rPr>
                    <m:t xml:space="preserve">2</m:t>
                  </m:r>
                </m:sup>
              </m:sSubSup>
            </m:e>
          </m:rad>
        </m:oMath>
      </m:oMathPara>
    </w:p>
    <w:p>
      <w:pPr>
        <w:pStyle w:val="Normal"/>
        <w:rPr/>
      </w:pPr>
      <w:r>
        <w:rPr/>
        <w:t xml:space="preserve">Po vzájemném dosazení obou rovnic obdržíme rovnici o jedné neznámé, kterou je hledaná hodnota indukčnosti </w:t>
      </w:r>
      <w:r>
        <w:rPr>
          <w:i/>
          <w:iCs/>
        </w:rPr>
        <w:t>L</w:t>
      </w:r>
      <w:r>
        <w:rPr/>
        <w:t>.</w:t>
      </w:r>
    </w:p>
    <w:p>
      <w:pPr>
        <w:pStyle w:val="Heading3"/>
        <w:rPr/>
      </w:pPr>
      <w:r>
        <w:rPr/>
        <w:t>Rezonanční metoda</w:t>
      </w:r>
    </w:p>
    <w:p>
      <w:pPr>
        <w:pStyle w:val="Normal"/>
        <w:rPr/>
      </w:pPr>
      <w:r>
        <w:rPr/>
        <w:t>Rezonanční metoda je založena na rovnosti induktivní a kapacitní reaktance akumulačních prvků při rezonančním kmitočtu.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X</m:t>
              </m:r>
            </m:e>
            <m:sub>
              <m:r>
                <m:rPr>
                  <m:lit/>
                  <m:nor/>
                </m:rPr>
                <w:rPr>
                  <w:rFonts w:ascii="Cambria Math" w:hAnsi="Cambria Math"/>
                </w:rPr>
                <m:t xml:space="preserve">Lr</m:t>
              </m:r>
            </m:sub>
          </m:sSub>
          <m:r>
            <w:rPr>
              <w:rFonts w:ascii="Cambria Math" w:hAnsi="Cambria Math"/>
            </w:rPr>
            <m:t xml:space="preserve">=</m:t>
          </m:r>
          <m:sSub>
            <m:e>
              <m:r>
                <w:rPr>
                  <w:rFonts w:ascii="Cambria Math" w:hAnsi="Cambria Math"/>
                </w:rPr>
                <m:t xml:space="preserve">X</m:t>
              </m:r>
            </m:e>
            <m:sub>
              <m:r>
                <m:rPr>
                  <m:lit/>
                  <m:nor/>
                </m:rPr>
                <w:rPr>
                  <w:rFonts w:ascii="Cambria Math" w:hAnsi="Cambria Math"/>
                </w:rPr>
                <m:t xml:space="preserve">Cr</m:t>
              </m:r>
            </m:sub>
          </m:sSub>
        </m:oMath>
      </m:oMathPara>
    </w:p>
    <w:p>
      <w:pPr>
        <w:pStyle w:val="Normal"/>
        <w:rPr/>
      </w:pPr>
      <w:r>
        <w:rPr/>
        <w:t>Musíme vyřešit problém s nalezením hodnoty rezonančního kmitočtu. Při rezonanci sériově řazených prvků je impedance dána pouze ztrátovým odporem cívky. Impedance je v tomto kmitočtu nejnižší, na ampérmetru zaznamenáváme maximální hodnotu proudu.</w:t>
      </w:r>
    </w:p>
    <w:p>
      <w:pPr>
        <w:pStyle w:val="Normal"/>
        <w:rPr/>
      </w:pPr>
      <w:r>
        <w:rPr/>
        <w:t>Při nastavení nízkého kmitočtu pozorujeme určitou hodnotu proudu; proud s rostoucím kmitočtem stoupá (když stoupá pomaleji než v počátku pokusu, blížíme se k rezonanci). V dalším přiblížení měníme kmitočet pomaleji, dokud nenalezneme bod maxima proudu, kmitočet z generátoru zaznamenáme. Každá z akumulačních součástí způsobuje určitý fázový posun mezi fázory napětí a proudu. Vzhledem k tomu, že smysl posuvu je opačný,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5</w:t>
      </w:r>
      <w:r>
        <w:rPr/>
        <w:fldChar w:fldCharType="end"/>
      </w:r>
    </w:p>
    <w:p>
      <w:pPr>
        <w:pStyle w:val="Normal"/>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sSub>
            <m:e>
              <m:r>
                <w:rPr>
                  <w:rFonts w:ascii="Cambria Math" w:hAnsi="Cambria Math"/>
                </w:rPr>
                <m:t xml:space="preserve">R</m:t>
              </m:r>
            </m:e>
            <m:sub/>
          </m:sSub>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e>
          </m:d>
        </m:oMath>
      </m:oMathPara>
    </w:p>
    <w:p>
      <w:pPr>
        <w:pStyle w:val="Normal"/>
        <w:rPr/>
      </w:pPr>
      <w:r>
        <w:rPr/>
        <w:t>Napětí na kapacitě i indukčnosti jsou stejně velká a vzájemně se také ruší. Pro proud potom platí, že:</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6</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f>
            <m:num>
              <m:sSub>
                <m:e>
                  <m:r>
                    <w:rPr>
                      <w:rFonts w:ascii="Cambria Math" w:hAnsi="Cambria Math"/>
                    </w:rPr>
                    <m:t xml:space="preserve">U</m:t>
                  </m:r>
                </m:e>
                <m:sub/>
              </m:sSub>
            </m:num>
            <m:den>
              <m:sSub>
                <m:e>
                  <m:r>
                    <w:rPr>
                      <w:rFonts w:ascii="Cambria Math" w:hAnsi="Cambria Math"/>
                    </w:rPr>
                    <m:t xml:space="preserve">R</m:t>
                  </m:r>
                </m:e>
                <m:sub>
                  <m:r>
                    <w:rPr>
                      <w:rFonts w:ascii="Cambria Math" w:hAnsi="Cambria Math"/>
                    </w:rPr>
                    <m:t xml:space="preserve">L</m:t>
                  </m:r>
                </m:sub>
              </m:sSub>
            </m:den>
          </m:f>
        </m:oMath>
      </m:oMathPara>
    </w:p>
    <w:p>
      <w:pPr>
        <w:pStyle w:val="Normal"/>
        <w:rPr/>
      </w:pPr>
      <w:r>
        <w:rPr/>
        <w:t>Do rovnosti kapacitní a induktivní reaktance dosazujeme velikost rezonančního kmitočtu a kapacity, dopočítáme indukčnost. Z hodnoty napětí a rezonančního proudu určíme velikost ztrátového odporu. Vzhledem k tomu, že přesné hledání bodu rezonance je obtížné, pohybujeme se zpravidla pouze v jeho okolí. Měření je pak zatíženo relativně velkou chybou. Je třeba také dávat pozor na chybu metody (zejména u analogových ampérmetrů) a na lokalizaci na frekvenční charakteristice MP.</w:t>
      </w:r>
    </w:p>
    <w:p>
      <w:pPr>
        <w:pStyle w:val="Heading3"/>
        <w:rPr/>
      </w:pPr>
      <w:r>
        <w:rPr/>
        <w:t>Činitel jakosti</w:t>
      </w:r>
    </w:p>
    <w:p>
      <w:pPr>
        <w:pStyle w:val="Normal"/>
        <w:rPr/>
      </w:pPr>
      <w:r>
        <w:rPr/>
        <w:t>Vypočtená hodnota činitele jakosti je poměr induktivní reaktance cívky k jejímu ohmickému odporu: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7</w:t>
      </w:r>
      <w:r>
        <w:rPr/>
        <w:fldChar w:fldCharType="end"/>
      </w:r>
    </w:p>
    <w:p>
      <w:pPr>
        <w:pStyle w:val="Normal"/>
        <w:jc w:val="center"/>
        <w:rPr/>
      </w:pPr>
      <w:r>
        <w:rPr/>
      </w:r>
      <m:oMathPara xmlns:m="http://schemas.openxmlformats.org/officeDocument/2006/math">
        <m:oMathParaPr>
          <m:jc m:val="center"/>
        </m:oMathParaPr>
        <m:oMath/>
      </m:oMathPara>
    </w:p>
    <w:p>
      <w:pPr>
        <w:pStyle w:val="Normal"/>
        <w:rPr/>
      </w:pPr>
      <w:r>
        <w:rPr/>
        <w:t>Zjistíme díky němu, kolikrát vzroste napětí na indukčnosti i kapacitě při rezonanci. Víme již, že obě napětí jsou co do velikosti přibližně stejná, co do charakteru jalová. Při uvádění obvodu do rezonance potřebujeme činitel jakosti znát, abychom mohli správně napěťově dimenzovat součástky. Pro napětí na obou prvcích platí: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8</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LR</m:t>
              </m:r>
            </m:sub>
          </m:sSub>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g</m:t>
              </m:r>
            </m:sub>
          </m:sSub>
        </m:oMath>
      </m:oMathPara>
    </w:p>
    <w:p>
      <w:pPr>
        <w:pStyle w:val="Normal"/>
        <w:rPr/>
      </w:pPr>
      <w:r>
        <w:rPr/>
        <w:t>V našem případě budeme zjišťovat hodnotu činitele jakosti tak, že napětí na kapacitě a napětí generátoru vzájemně podělíme:</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9</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C</m:t>
                  </m:r>
                </m:sub>
              </m:sSub>
            </m:num>
            <m:den>
              <m:sSub>
                <m:e>
                  <m:r>
                    <w:rPr>
                      <w:rFonts w:ascii="Cambria Math" w:hAnsi="Cambria Math"/>
                    </w:rPr>
                    <m:t xml:space="preserve">U</m:t>
                  </m:r>
                </m:e>
                <m:sub>
                  <m:r>
                    <w:rPr>
                      <w:rFonts w:ascii="Cambria Math" w:hAnsi="Cambria Math"/>
                    </w:rPr>
                    <m:t xml:space="preserve">g</m:t>
                  </m:r>
                </m:sub>
              </m:sSub>
            </m:den>
          </m:f>
        </m:oMath>
      </m:oMathPara>
    </w:p>
    <w:p>
      <w:pPr>
        <w:pStyle w:val="Heading2"/>
        <w:rPr/>
      </w:pPr>
      <w:r>
        <w:rPr/>
        <w:t>Schéma zapojení</w:t>
      </w:r>
    </w:p>
    <w:p>
      <w:pPr>
        <w:pStyle w:val="Normal"/>
        <w:keepNext w:val="true"/>
        <w:jc w:val="center"/>
        <w:rPr/>
      </w:pPr>
      <w:r>
        <w:rPr/>
        <w:drawing>
          <wp:inline distT="0" distB="0" distL="0" distR="0">
            <wp:extent cx="1981200" cy="1847850"/>
            <wp:effectExtent l="0" t="0" r="0" b="0"/>
            <wp:docPr id="1" name="obrázek 10" descr="suroviny3\10_L\L_ohm_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0" descr="suroviny3\10_L\L_ohm_ss.bmp"/>
                    <pic:cNvPicPr>
                      <a:picLocks noChangeAspect="1" noChangeArrowheads="1"/>
                    </pic:cNvPicPr>
                  </pic:nvPicPr>
                  <pic:blipFill>
                    <a:blip r:embed="rId2"/>
                    <a:stretch>
                      <a:fillRect/>
                    </a:stretch>
                  </pic:blipFill>
                  <pic:spPr bwMode="auto">
                    <a:xfrm>
                      <a:off x="0" y="0"/>
                      <a:ext cx="1981200" cy="18478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Aplikace Ohmovy metody - stejnosměrná část</w:t>
      </w:r>
    </w:p>
    <w:p>
      <w:pPr>
        <w:pStyle w:val="Normal"/>
        <w:jc w:val="center"/>
        <w:rPr/>
      </w:pPr>
      <w:r>
        <w:rPr/>
      </w:r>
    </w:p>
    <w:p>
      <w:pPr>
        <w:pStyle w:val="Normal"/>
        <w:keepNext w:val="true"/>
        <w:jc w:val="center"/>
        <w:rPr/>
      </w:pPr>
      <w:r>
        <w:rPr/>
        <w:drawing>
          <wp:inline distT="0" distB="0" distL="0" distR="0">
            <wp:extent cx="1714500" cy="1857375"/>
            <wp:effectExtent l="0" t="0" r="0" b="0"/>
            <wp:docPr id="2" name="obrázek 13" descr="suroviny3\10_L\L_ohm_stř.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3" descr="suroviny3\10_L\L_ohm_stř.bmp"/>
                    <pic:cNvPicPr>
                      <a:picLocks noChangeAspect="1" noChangeArrowheads="1"/>
                    </pic:cNvPicPr>
                  </pic:nvPicPr>
                  <pic:blipFill>
                    <a:blip r:embed="rId3"/>
                    <a:stretch>
                      <a:fillRect/>
                    </a:stretch>
                  </pic:blipFill>
                  <pic:spPr bwMode="auto">
                    <a:xfrm>
                      <a:off x="0" y="0"/>
                      <a:ext cx="1714500" cy="18573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Aplikace Ohmovy metody - střídavá část</w:t>
      </w:r>
    </w:p>
    <w:p>
      <w:pPr>
        <w:pStyle w:val="Normal"/>
        <w:jc w:val="center"/>
        <w:rPr/>
      </w:pPr>
      <w:r>
        <w:rPr/>
      </w:r>
    </w:p>
    <w:p>
      <w:pPr>
        <w:pStyle w:val="Normal"/>
        <w:keepNext w:val="true"/>
        <w:jc w:val="center"/>
        <w:rPr/>
      </w:pPr>
      <w:r>
        <w:rPr/>
        <w:drawing>
          <wp:inline distT="0" distB="0" distL="0" distR="0">
            <wp:extent cx="3257550" cy="1809750"/>
            <wp:effectExtent l="0" t="0" r="0" b="0"/>
            <wp:docPr id="3" name="obrázek 16" descr="suroviny3\10_L\L_rezonanční_meto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6" descr="suroviny3\10_L\L_rezonanční_metoda.bmp"/>
                    <pic:cNvPicPr>
                      <a:picLocks noChangeAspect="1" noChangeArrowheads="1"/>
                    </pic:cNvPicPr>
                  </pic:nvPicPr>
                  <pic:blipFill>
                    <a:blip r:embed="rId4"/>
                    <a:stretch>
                      <a:fillRect/>
                    </a:stretch>
                  </pic:blipFill>
                  <pic:spPr bwMode="auto">
                    <a:xfrm>
                      <a:off x="0" y="0"/>
                      <a:ext cx="3257550" cy="18097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Aplikace rezonanční metody</w:t>
      </w:r>
    </w:p>
    <w:p>
      <w:pPr>
        <w:pStyle w:val="Normal"/>
        <w:jc w:val="center"/>
        <w:rPr/>
      </w:pPr>
      <w:r>
        <w:rPr/>
      </w:r>
    </w:p>
    <w:p>
      <w:pPr>
        <w:pStyle w:val="Normal"/>
        <w:keepNext w:val="true"/>
        <w:jc w:val="center"/>
        <w:rPr/>
      </w:pPr>
      <w:r>
        <w:rPr/>
        <w:drawing>
          <wp:inline distT="0" distB="0" distL="0" distR="0">
            <wp:extent cx="4362450" cy="1952625"/>
            <wp:effectExtent l="0" t="0" r="0" b="0"/>
            <wp:docPr id="4" name="obrázek 19" descr="suroviny3\10_L\L_Q.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9" descr="suroviny3\10_L\L_Q.bmp"/>
                    <pic:cNvPicPr>
                      <a:picLocks noChangeAspect="1" noChangeArrowheads="1"/>
                    </pic:cNvPicPr>
                  </pic:nvPicPr>
                  <pic:blipFill>
                    <a:blip r:embed="rId5"/>
                    <a:stretch>
                      <a:fillRect/>
                    </a:stretch>
                  </pic:blipFill>
                  <pic:spPr bwMode="auto">
                    <a:xfrm>
                      <a:off x="0" y="0"/>
                      <a:ext cx="4362450" cy="19526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Měření činitele jakosti</w:t>
      </w:r>
    </w:p>
    <w:p>
      <w:pPr>
        <w:pStyle w:val="Normal"/>
        <w:rPr/>
      </w:pPr>
      <w:r>
        <w:rPr/>
      </w:r>
    </w:p>
    <w:p>
      <w:pPr>
        <w:pStyle w:val="Heading2"/>
        <w:rPr/>
      </w:pPr>
      <w:r>
        <w:rPr/>
        <w:t>Postup měření</w:t>
      </w:r>
    </w:p>
    <w:p>
      <w:pPr>
        <w:pStyle w:val="ListParagraph"/>
        <w:numPr>
          <w:ilvl w:val="0"/>
          <w:numId w:val="2"/>
        </w:numPr>
        <w:rPr/>
      </w:pPr>
      <w:r>
        <w:rPr/>
        <w:t>Realizujeme schéma pro Ohmovu metodu se stejnosměrným zdrojem a přivoláme vyučujícího ke kontrole zapojení.</w:t>
      </w:r>
    </w:p>
    <w:p>
      <w:pPr>
        <w:pStyle w:val="ListParagraph"/>
        <w:numPr>
          <w:ilvl w:val="0"/>
          <w:numId w:val="2"/>
        </w:numPr>
        <w:rPr/>
      </w:pPr>
      <w:r>
        <w:rPr/>
        <w:t>Změříme napětí a proud, vypočteme odpor.</w:t>
      </w:r>
    </w:p>
    <w:p>
      <w:pPr>
        <w:pStyle w:val="ListParagraph"/>
        <w:numPr>
          <w:ilvl w:val="0"/>
          <w:numId w:val="2"/>
        </w:numPr>
        <w:rPr/>
      </w:pPr>
      <w:r>
        <w:rPr/>
        <w:t>Realizujeme schéma pro Ohmovu metodu s generátorem a přivoláme vyučujícího ke kontrole zapojení.</w:t>
      </w:r>
    </w:p>
    <w:p>
      <w:pPr>
        <w:pStyle w:val="ListParagraph"/>
        <w:numPr>
          <w:ilvl w:val="0"/>
          <w:numId w:val="2"/>
        </w:numPr>
        <w:rPr/>
      </w:pPr>
      <w:r>
        <w:rPr/>
        <w:t>Změříme napětí a proud, vypočteme impedanci a následně indukčnost.</w:t>
      </w:r>
    </w:p>
    <w:p>
      <w:pPr>
        <w:pStyle w:val="ListParagraph"/>
        <w:numPr>
          <w:ilvl w:val="0"/>
          <w:numId w:val="2"/>
        </w:numPr>
        <w:rPr/>
      </w:pPr>
      <w:r>
        <w:rPr/>
        <w:t>Realizujeme schéma pro rezonanční metodu a přivoláme vyučujícího ke kontrole zapojení.</w:t>
      </w:r>
    </w:p>
    <w:p>
      <w:pPr>
        <w:pStyle w:val="ListParagraph"/>
        <w:numPr>
          <w:ilvl w:val="0"/>
          <w:numId w:val="2"/>
        </w:numPr>
        <w:rPr/>
      </w:pPr>
      <w:r>
        <w:rPr/>
        <w:t>Nalezneme maximum proudu, zaznamenáme takto zjištěný rezonanční kmitočet. Dopočítáme hodnotu odporu (z napětí a rezonančního proudu) a indukčnosti (z rovnosti reaktancí).</w:t>
      </w:r>
    </w:p>
    <w:p>
      <w:pPr>
        <w:pStyle w:val="ListParagraph"/>
        <w:numPr>
          <w:ilvl w:val="0"/>
          <w:numId w:val="2"/>
        </w:numPr>
        <w:rPr/>
      </w:pPr>
      <w:r>
        <w:rPr/>
        <w:t>Realizujeme schéma pro měření činitele jakosti a přivoláme vyučujícího ke kontrole zapojení.</w:t>
      </w:r>
    </w:p>
    <w:p>
      <w:pPr>
        <w:pStyle w:val="ListParagraph"/>
        <w:numPr>
          <w:ilvl w:val="0"/>
          <w:numId w:val="2"/>
        </w:numPr>
        <w:rPr/>
      </w:pPr>
      <w:r>
        <w:rPr/>
        <w:t>Přivedeme obvod do rezonance, zapíšeme hodnoty napětí na generátoru a na kapacitě. Naměřenou hodnotu činitele jakosti srovnáme s hodnotou vypočtenou.</w:t>
      </w:r>
    </w:p>
    <w:p>
      <w:pPr>
        <w:pStyle w:val="ListParagraph"/>
        <w:numPr>
          <w:ilvl w:val="0"/>
          <w:numId w:val="2"/>
        </w:numPr>
        <w:rPr/>
      </w:pPr>
      <w:r>
        <w:rPr/>
        <w:t>Změříme parametry cívky pomocí RLC můstku.</w:t>
      </w:r>
    </w:p>
    <w:p>
      <w:pPr>
        <w:pStyle w:val="ListParagraph"/>
        <w:numPr>
          <w:ilvl w:val="0"/>
          <w:numId w:val="2"/>
        </w:numPr>
        <w:rPr/>
      </w:pPr>
      <w:r>
        <w:rPr/>
        <w:t>Porovnáme hodnoty zjištěné ostatními metodami s RLC můstkem, vypočteme absolutní a relativní chyby měření indukčnosti a zhodnotíme je.</w:t>
      </w:r>
    </w:p>
    <w:p>
      <w:pPr>
        <w:pStyle w:val="Normal"/>
        <w:rPr/>
      </w:pPr>
      <w:r>
        <w:rPr/>
      </w:r>
    </w:p>
    <w:p>
      <w:pPr>
        <w:pStyle w:val="Normal"/>
        <w:rPr/>
      </w:pPr>
      <w:r>
        <w:rPr/>
      </w:r>
    </w:p>
    <w:p>
      <w:pPr>
        <w:pStyle w:val="Heading2"/>
        <w:rPr/>
      </w:pPr>
      <w:r>
        <w:rPr/>
        <w:t>Otázky</w:t>
      </w:r>
    </w:p>
    <w:p>
      <w:pPr>
        <w:pStyle w:val="ListParagraph"/>
        <w:numPr>
          <w:ilvl w:val="0"/>
          <w:numId w:val="3"/>
        </w:numPr>
        <w:rPr/>
      </w:pPr>
      <w:r>
        <w:rPr/>
        <w:t>Vypište známé veličiny pro popis magnetického pole a vztahy mezi nimi.</w:t>
      </w:r>
    </w:p>
    <w:p>
      <w:pPr>
        <w:pStyle w:val="ListParagraph"/>
        <w:numPr>
          <w:ilvl w:val="0"/>
          <w:numId w:val="3"/>
        </w:numPr>
        <w:rPr/>
      </w:pPr>
      <w:r>
        <w:rPr/>
        <w:t>Popište možnosti aplikace vlastností magnetických polí.</w:t>
      </w:r>
    </w:p>
    <w:p>
      <w:pPr>
        <w:pStyle w:val="ListParagraph"/>
        <w:numPr>
          <w:ilvl w:val="0"/>
          <w:numId w:val="3"/>
        </w:numPr>
        <w:rPr/>
      </w:pPr>
      <w:r>
        <w:rPr/>
        <w:t>Popište rozdílnost charakterů elektrostatického a magnetického pole.</w:t>
      </w:r>
    </w:p>
    <w:p>
      <w:pPr>
        <w:pStyle w:val="ListParagraph"/>
        <w:numPr>
          <w:ilvl w:val="0"/>
          <w:numId w:val="3"/>
        </w:numPr>
        <w:rPr/>
      </w:pPr>
      <w:r>
        <w:rPr/>
        <w:t>Jak se odlišuje aplikace Ohmovy metody při měření vlastností cívek, odporů a kondenzátorů?</w:t>
      </w:r>
    </w:p>
    <w:p>
      <w:pPr>
        <w:pStyle w:val="ListParagraph"/>
        <w:numPr>
          <w:ilvl w:val="0"/>
          <w:numId w:val="3"/>
        </w:numPr>
        <w:rPr/>
      </w:pPr>
      <w:r>
        <w:rPr/>
        <w:t>Vysvětlete fyzikální podstatu rezonance.</w:t>
      </w:r>
    </w:p>
    <w:p>
      <w:pPr>
        <w:pStyle w:val="ListParagraph"/>
        <w:numPr>
          <w:ilvl w:val="0"/>
          <w:numId w:val="3"/>
        </w:numPr>
        <w:rPr/>
      </w:pPr>
      <w:r>
        <w:rPr/>
        <w:t>Vysvětlete, proč se napětí na jednotlivých prvcích při rezonanci cívky a kondenzátoru rovná pouze přibližně.</w:t>
      </w:r>
    </w:p>
    <w:p>
      <w:pPr>
        <w:pStyle w:val="ListParagraph"/>
        <w:numPr>
          <w:ilvl w:val="0"/>
          <w:numId w:val="3"/>
        </w:numPr>
        <w:rPr/>
      </w:pPr>
      <w:r>
        <w:rPr/>
        <w:t>Popište význam měření indukčnosti v praktických technických aplikacích.</w:t>
      </w:r>
    </w:p>
    <w:p>
      <w:pPr>
        <w:pStyle w:val="ListParagraph"/>
        <w:numPr>
          <w:ilvl w:val="0"/>
          <w:numId w:val="3"/>
        </w:numPr>
        <w:rPr/>
      </w:pPr>
      <w:r>
        <w:rPr/>
        <w:t>Vysvětlete princip můstkových metod pro měření pasivních elektrických veličin, do závěrečných poznámek nakreslete můstek pro měření parametrů cívek. Naznačte postup pro měření.</w:t>
      </w:r>
    </w:p>
    <w:p>
      <w:pPr>
        <w:pStyle w:val="ListParagraph"/>
        <w:numPr>
          <w:ilvl w:val="0"/>
          <w:numId w:val="3"/>
        </w:numPr>
        <w:rPr/>
      </w:pPr>
      <w:r>
        <w:rPr/>
        <w:t>Vysvětlete, jak se změní obvodové parametry vzduchové cívky, pokud do ní vložíme jádro z feromagnetického materiálu.</w:t>
      </w:r>
    </w:p>
    <w:p>
      <w:pPr>
        <w:pStyle w:val="ListParagraph"/>
        <w:numPr>
          <w:ilvl w:val="0"/>
          <w:numId w:val="3"/>
        </w:numPr>
        <w:rPr/>
      </w:pPr>
      <w:r>
        <w:rPr/>
        <w:t>Jaké materiály používáme pro jádra cívek v nízkofrekvenční a vysokofrekvenční technice?</w:t>
      </w:r>
    </w:p>
    <w:p>
      <w:pPr>
        <w:pStyle w:val="Normal"/>
        <w:rPr/>
      </w:pPr>
      <w:r>
        <w:rPr/>
      </w:r>
    </w:p>
    <w:p>
      <w:pPr>
        <w:pStyle w:val="Normal"/>
        <w:rPr/>
      </w:pPr>
      <w:r>
        <w:rPr/>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Aplikace Ohmovy metody - stejnosměrná část</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920"/>
        <w:gridCol w:w="1919"/>
      </w:tblGrid>
      <w:tr>
        <w:trPr>
          <w:trHeight w:val="285" w:hRule="atLeast"/>
        </w:trPr>
        <w:tc>
          <w:tcPr>
            <w:tcW w:w="3839" w:type="dxa"/>
            <w:gridSpan w:val="2"/>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ztrátového odporu R</w:t>
            </w:r>
            <w:r>
              <w:rPr>
                <w:b/>
                <w:bCs/>
                <w:szCs w:val="20"/>
                <w:vertAlign w:val="subscript"/>
              </w:rPr>
              <w:t>Lo</w:t>
            </w:r>
          </w:p>
        </w:tc>
      </w:tr>
      <w:tr>
        <w:trPr>
          <w:trHeight w:val="285" w:hRule="atLeast"/>
        </w:trPr>
        <w:tc>
          <w:tcPr>
            <w:tcW w:w="1920"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SS</w:t>
            </w:r>
            <w:r>
              <w:rPr>
                <w:b/>
                <w:szCs w:val="20"/>
              </w:rPr>
              <w:t xml:space="preserve"> (V)</w:t>
            </w:r>
          </w:p>
        </w:tc>
        <w:tc>
          <w:tcPr>
            <w:tcW w:w="1919" w:type="dxa"/>
            <w:tcBorders>
              <w:bottom w:val="single" w:sz="4" w:space="0" w:color="000000"/>
              <w:right w:val="single" w:sz="12" w:space="0" w:color="000000"/>
            </w:tcBorders>
          </w:tcPr>
          <w:p>
            <w:pPr>
              <w:pStyle w:val="Normal"/>
              <w:spacing w:lineRule="auto" w:line="240" w:before="0" w:after="0"/>
              <w:jc w:val="center"/>
              <w:rPr>
                <w:b/>
                <w:szCs w:val="20"/>
              </w:rPr>
            </w:pPr>
            <w:r>
              <w:rPr>
                <w:b/>
                <w:i/>
                <w:iCs/>
                <w:szCs w:val="20"/>
              </w:rPr>
              <w:t>I</w:t>
            </w:r>
            <w:r>
              <w:rPr>
                <w:b/>
                <w:szCs w:val="20"/>
                <w:vertAlign w:val="subscript"/>
              </w:rPr>
              <w:t>SS</w:t>
            </w:r>
            <w:r>
              <w:rPr>
                <w:b/>
                <w:szCs w:val="20"/>
              </w:rPr>
              <w:t xml:space="preserve"> (mA)</w:t>
            </w:r>
          </w:p>
        </w:tc>
      </w:tr>
      <w:tr>
        <w:trPr>
          <w:trHeight w:val="285" w:hRule="atLeast"/>
        </w:trPr>
        <w:tc>
          <w:tcPr>
            <w:tcW w:w="192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t>3,28</w:t>
            </w:r>
          </w:p>
        </w:tc>
        <w:tc>
          <w:tcPr>
            <w:tcW w:w="1919" w:type="dxa"/>
            <w:tcBorders>
              <w:bottom w:val="single" w:sz="12" w:space="0" w:color="000000"/>
              <w:right w:val="single" w:sz="12" w:space="0" w:color="000000"/>
            </w:tcBorders>
          </w:tcPr>
          <w:p>
            <w:pPr>
              <w:pStyle w:val="Normal"/>
              <w:spacing w:lineRule="auto" w:line="240" w:before="0" w:after="0"/>
              <w:jc w:val="center"/>
              <w:rPr/>
            </w:pPr>
            <w:r>
              <w:rPr/>
              <w:t>1148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Aplikace Ohmovy metody - střídavá část</w:t>
      </w:r>
    </w:p>
    <w:tbl>
      <w:tblPr>
        <w:tblW w:w="39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300"/>
        <w:gridCol w:w="1300"/>
        <w:gridCol w:w="1300"/>
      </w:tblGrid>
      <w:tr>
        <w:trPr>
          <w:trHeight w:val="285" w:hRule="atLeast"/>
        </w:trPr>
        <w:tc>
          <w:tcPr>
            <w:tcW w:w="3900" w:type="dxa"/>
            <w:gridSpan w:val="3"/>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impedance cívky</w:t>
            </w:r>
          </w:p>
        </w:tc>
      </w:tr>
      <w:tr>
        <w:trPr>
          <w:trHeight w:val="285" w:hRule="atLeast"/>
        </w:trPr>
        <w:tc>
          <w:tcPr>
            <w:tcW w:w="1300" w:type="dxa"/>
            <w:tcBorders>
              <w:left w:val="single" w:sz="12" w:space="0" w:color="000000"/>
              <w:bottom w:val="single" w:sz="4" w:space="0" w:color="000000"/>
              <w:right w:val="single" w:sz="4" w:space="0" w:color="000000"/>
            </w:tcBorders>
          </w:tcPr>
          <w:p>
            <w:pPr>
              <w:pStyle w:val="Normal"/>
              <w:spacing w:lineRule="auto" w:line="240" w:before="0" w:after="0"/>
              <w:jc w:val="center"/>
              <w:rPr>
                <w:b/>
                <w:i/>
                <w:i/>
                <w:iCs/>
                <w:szCs w:val="20"/>
              </w:rPr>
            </w:pPr>
            <w:r>
              <w:rPr>
                <w:b/>
                <w:i/>
                <w:iCs/>
                <w:szCs w:val="20"/>
              </w:rPr>
              <w:t>U</w:t>
            </w:r>
            <w:r>
              <w:rPr>
                <w:b/>
                <w:szCs w:val="20"/>
                <w:vertAlign w:val="subscript"/>
              </w:rPr>
              <w:t>STŘ</w:t>
            </w:r>
            <w:r>
              <w:rPr>
                <w:b/>
                <w:szCs w:val="20"/>
              </w:rPr>
              <w:t xml:space="preserve"> (V)</w:t>
            </w:r>
          </w:p>
        </w:tc>
        <w:tc>
          <w:tcPr>
            <w:tcW w:w="1300" w:type="dxa"/>
            <w:tcBorders>
              <w:bottom w:val="single" w:sz="4" w:space="0" w:color="000000"/>
              <w:right w:val="single" w:sz="4" w:space="0" w:color="000000"/>
            </w:tcBorders>
          </w:tcPr>
          <w:p>
            <w:pPr>
              <w:pStyle w:val="Normal"/>
              <w:spacing w:lineRule="auto" w:line="240" w:before="0" w:after="0"/>
              <w:jc w:val="center"/>
              <w:rPr>
                <w:b/>
                <w:i/>
                <w:i/>
                <w:iCs/>
                <w:szCs w:val="20"/>
              </w:rPr>
            </w:pPr>
            <w:r>
              <w:rPr>
                <w:b/>
                <w:i/>
                <w:iCs/>
                <w:szCs w:val="20"/>
              </w:rPr>
              <w:t>I</w:t>
            </w:r>
            <w:r>
              <w:rPr>
                <w:b/>
                <w:szCs w:val="20"/>
                <w:vertAlign w:val="subscript"/>
              </w:rPr>
              <w:t>STŘ</w:t>
            </w:r>
            <w:r>
              <w:rPr>
                <w:b/>
                <w:szCs w:val="20"/>
              </w:rPr>
              <w:t xml:space="preserve"> (mA)</w:t>
            </w:r>
          </w:p>
        </w:tc>
        <w:tc>
          <w:tcPr>
            <w:tcW w:w="1300" w:type="dxa"/>
            <w:tcBorders>
              <w:bottom w:val="single" w:sz="4" w:space="0" w:color="000000"/>
              <w:right w:val="single" w:sz="12" w:space="0" w:color="000000"/>
            </w:tcBorders>
          </w:tcPr>
          <w:p>
            <w:pPr>
              <w:pStyle w:val="Normal"/>
              <w:spacing w:lineRule="auto" w:line="240" w:before="0" w:after="0"/>
              <w:jc w:val="center"/>
              <w:rPr>
                <w:b/>
                <w:i/>
                <w:i/>
                <w:iCs/>
                <w:szCs w:val="20"/>
              </w:rPr>
            </w:pPr>
            <w:r>
              <w:rPr>
                <w:b/>
                <w:i/>
                <w:iCs/>
                <w:szCs w:val="20"/>
              </w:rPr>
              <w:t xml:space="preserve">f </w:t>
            </w:r>
            <w:r>
              <w:rPr>
                <w:b/>
                <w:szCs w:val="20"/>
              </w:rPr>
              <w:t>(Hz)</w:t>
            </w:r>
          </w:p>
        </w:tc>
      </w:tr>
      <w:tr>
        <w:trPr>
          <w:trHeight w:val="285" w:hRule="atLeast"/>
        </w:trPr>
        <w:tc>
          <w:tcPr>
            <w:tcW w:w="130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t>0,7</w:t>
            </w:r>
          </w:p>
        </w:tc>
        <w:tc>
          <w:tcPr>
            <w:tcW w:w="1300" w:type="dxa"/>
            <w:tcBorders>
              <w:bottom w:val="single" w:sz="12" w:space="0" w:color="000000"/>
              <w:right w:val="single" w:sz="4" w:space="0" w:color="000000"/>
            </w:tcBorders>
          </w:tcPr>
          <w:p>
            <w:pPr>
              <w:pStyle w:val="Normal"/>
              <w:spacing w:lineRule="auto" w:line="240" w:before="0" w:after="0"/>
              <w:jc w:val="center"/>
              <w:rPr/>
            </w:pPr>
            <w:r>
              <w:rPr/>
              <w:t>110</w:t>
            </w:r>
          </w:p>
        </w:tc>
        <w:tc>
          <w:tcPr>
            <w:tcW w:w="1300" w:type="dxa"/>
            <w:tcBorders>
              <w:bottom w:val="single" w:sz="12" w:space="0" w:color="000000"/>
              <w:right w:val="single" w:sz="12" w:space="0" w:color="000000"/>
            </w:tcBorders>
          </w:tcPr>
          <w:p>
            <w:pPr>
              <w:pStyle w:val="Normal"/>
              <w:spacing w:lineRule="auto" w:line="240" w:before="0" w:after="0"/>
              <w:jc w:val="center"/>
              <w:rPr/>
            </w:pPr>
            <w:r>
              <w:rPr/>
              <w:t>100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Aplikace rezonanční metody</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60"/>
        <w:gridCol w:w="959"/>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C</w:t>
            </w:r>
            <w:r>
              <w:rPr>
                <w:b/>
                <w:szCs w:val="20"/>
              </w:rPr>
              <w:t xml:space="preserve"> (</w:t>
            </w:r>
            <w:r>
              <w:rPr>
                <w:rFonts w:ascii="Symbol" w:hAnsi="Symbol"/>
                <w:b/>
                <w:szCs w:val="20"/>
              </w:rPr>
              <w:t></w:t>
            </w:r>
            <w:r>
              <w:rPr>
                <w:b/>
                <w:szCs w:val="20"/>
              </w:rPr>
              <w:t>F)</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f</w:t>
            </w:r>
            <w:r>
              <w:rPr>
                <w:b/>
                <w:szCs w:val="20"/>
                <w:vertAlign w:val="subscript"/>
              </w:rPr>
              <w:t>r</w:t>
            </w:r>
            <w:r>
              <w:rPr>
                <w:b/>
                <w:szCs w:val="20"/>
              </w:rPr>
              <w:t xml:space="preserve"> (Hz)</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rPr>
              <w:t xml:space="preserve"> (V)</w:t>
            </w:r>
          </w:p>
        </w:tc>
        <w:tc>
          <w:tcPr>
            <w:tcW w:w="9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I</w:t>
            </w:r>
            <w:r>
              <w:rPr>
                <w:b/>
                <w:szCs w:val="20"/>
                <w:vertAlign w:val="subscript"/>
              </w:rPr>
              <w:t>r</w:t>
            </w:r>
            <w:r>
              <w:rPr>
                <w:b/>
                <w:szCs w:val="20"/>
              </w:rPr>
              <w:t xml:space="preserve"> (mA)</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t>0,1</w:t>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100</w:t>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1,35</w:t>
            </w:r>
          </w:p>
        </w:tc>
        <w:tc>
          <w:tcPr>
            <w:tcW w:w="9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110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činitele jakosti</w:t>
      </w:r>
    </w:p>
    <w:tbl>
      <w:tblPr>
        <w:tblW w:w="2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20"/>
        <w:gridCol w:w="1419"/>
      </w:tblGrid>
      <w:tr>
        <w:trPr>
          <w:trHeight w:val="285" w:hRule="atLeast"/>
        </w:trPr>
        <w:tc>
          <w:tcPr>
            <w:tcW w:w="142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g</w:t>
            </w:r>
            <w:r>
              <w:rPr>
                <w:b/>
                <w:szCs w:val="20"/>
              </w:rPr>
              <w:t xml:space="preserve"> (V)</w:t>
            </w:r>
          </w:p>
        </w:tc>
        <w:tc>
          <w:tcPr>
            <w:tcW w:w="141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U</w:t>
            </w:r>
            <w:r>
              <w:rPr>
                <w:b/>
                <w:szCs w:val="20"/>
                <w:vertAlign w:val="subscript"/>
              </w:rPr>
              <w:t>C</w:t>
            </w:r>
            <w:r>
              <w:rPr>
                <w:b/>
                <w:szCs w:val="20"/>
              </w:rPr>
              <w:t xml:space="preserve"> (V)</w:t>
            </w:r>
          </w:p>
        </w:tc>
      </w:tr>
      <w:tr>
        <w:trPr>
          <w:trHeight w:val="285" w:hRule="atLeast"/>
        </w:trPr>
        <w:tc>
          <w:tcPr>
            <w:tcW w:w="142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t>2,4</w:t>
            </w:r>
          </w:p>
        </w:tc>
        <w:tc>
          <w:tcPr>
            <w:tcW w:w="141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6,1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Skutečné parametry cívky (měření RLC můstkem)</w:t>
      </w:r>
    </w:p>
    <w:tbl>
      <w:tblPr>
        <w:tblW w:w="2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200"/>
        <w:gridCol w:w="1199"/>
      </w:tblGrid>
      <w:tr>
        <w:trPr>
          <w:trHeight w:val="285" w:hRule="atLeast"/>
        </w:trPr>
        <w:tc>
          <w:tcPr>
            <w:tcW w:w="120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R</w:t>
            </w:r>
            <w:r>
              <w:rPr>
                <w:b/>
                <w:szCs w:val="20"/>
                <w:vertAlign w:val="subscript"/>
              </w:rPr>
              <w:t>L</w:t>
            </w:r>
            <w:r>
              <w:rPr>
                <w:b/>
                <w:szCs w:val="20"/>
              </w:rPr>
              <w:t xml:space="preserve"> (Ω)</w:t>
            </w:r>
          </w:p>
        </w:tc>
        <w:tc>
          <w:tcPr>
            <w:tcW w:w="1199" w:type="dxa"/>
            <w:tcBorders>
              <w:top w:val="single" w:sz="12"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(mH)</w:t>
            </w:r>
          </w:p>
        </w:tc>
      </w:tr>
      <w:tr>
        <w:trPr>
          <w:trHeight w:val="345" w:hRule="atLeast"/>
        </w:trPr>
        <w:tc>
          <w:tcPr>
            <w:tcW w:w="120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t>32,4</w:t>
            </w:r>
          </w:p>
        </w:tc>
        <w:tc>
          <w:tcPr>
            <w:tcW w:w="1199" w:type="dxa"/>
            <w:tcBorders>
              <w:bottom w:val="single" w:sz="12" w:space="0" w:color="000000"/>
              <w:right w:val="single" w:sz="12" w:space="0" w:color="000000"/>
            </w:tcBorders>
          </w:tcPr>
          <w:p>
            <w:pPr>
              <w:pStyle w:val="Normal"/>
              <w:spacing w:lineRule="auto" w:line="240" w:before="0" w:after="0"/>
              <w:jc w:val="center"/>
              <w:rPr/>
            </w:pPr>
            <w:r>
              <w:rPr/>
              <w:t>10,92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Parametry cívky (v případě cívky jiného tvaru zapište příslušné parametry od zde uvedených)</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60"/>
        <w:gridCol w:w="959"/>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N</w:t>
            </w:r>
            <w:r>
              <w:rPr>
                <w:b/>
                <w:szCs w:val="20"/>
              </w:rPr>
              <w:t xml:space="preserve"> (</w:t>
            </w:r>
            <w:r>
              <w:rPr>
                <w:rFonts w:ascii="Symbol" w:hAnsi="Symbol"/>
                <w:b/>
                <w:szCs w:val="20"/>
              </w:rPr>
              <w:t></w:t>
            </w:r>
            <w:r>
              <w:rPr>
                <w:b/>
                <w:szCs w:val="20"/>
              </w:rPr>
              <w:t>)</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a</w:t>
            </w:r>
            <w:r>
              <w:rPr>
                <w:b/>
                <w:szCs w:val="20"/>
              </w:rPr>
              <w:t xml:space="preserve"> (mm)</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b</w:t>
            </w:r>
            <w:r>
              <w:rPr>
                <w:b/>
                <w:szCs w:val="20"/>
              </w:rPr>
              <w:t xml:space="preserve"> (mm)</w:t>
            </w:r>
          </w:p>
        </w:tc>
        <w:tc>
          <w:tcPr>
            <w:tcW w:w="9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(mm)</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t>600</w:t>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105</w:t>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t>83</w:t>
            </w:r>
          </w:p>
        </w:tc>
        <w:tc>
          <w:tcPr>
            <w:tcW w:w="9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t>74</w:t>
            </w:r>
          </w:p>
        </w:tc>
      </w:tr>
    </w:tbl>
    <w:p>
      <w:pPr>
        <w:pStyle w:val="Normal"/>
        <w:jc w:val="center"/>
        <w:rPr/>
      </w:pPr>
      <w:r>
        <w:rPr/>
      </w:r>
    </w:p>
    <w:p>
      <w:pPr>
        <w:pStyle w:val="Heading2"/>
        <w:rPr/>
      </w:pPr>
      <w:r>
        <w:rPr/>
        <w:t>Výpočty a odvození</w:t>
      </w:r>
    </w:p>
    <w:p>
      <w:pPr>
        <w:pStyle w:val="Normal"/>
        <w:rPr/>
      </w:pPr>
      <w:r>
        <w:rPr/>
        <w:t>Vypočtěte následující chyby měření způsobené měřicími přístroji a další vypočtené hodnoty.</w:t>
      </w:r>
    </w:p>
    <w:p>
      <w:pPr>
        <w:pStyle w:val="Heading3"/>
        <w:rPr/>
      </w:pPr>
      <w:r>
        <w:rPr/>
        <w:t>Ohmova metoda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SS</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SS</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SS</m:t>
                      </m:r>
                    </m:sub>
                  </m:sSub>
                </m:e>
              </m:d>
            </m:num>
            <m:den>
              <m:sSub>
                <m:e>
                  <m:r>
                    <w:rPr>
                      <w:rFonts w:ascii="Cambria Math" w:hAnsi="Cambria Math"/>
                    </w:rPr>
                    <m:t xml:space="preserve">U</m:t>
                  </m:r>
                </m:e>
                <m:sub>
                  <m:r>
                    <m:rPr>
                      <m:lit/>
                      <m:nor/>
                    </m:rPr>
                    <w:rPr>
                      <w:rFonts w:ascii="Cambria Math" w:hAnsi="Cambria Math"/>
                    </w:rPr>
                    <m:t xml:space="preserve">SS</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SS</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SS</m:t>
                  </m:r>
                </m:sub>
              </m:sSub>
            </m:e>
          </m:d>
          <m:r>
            <w:rPr>
              <w:rFonts w:ascii="Cambria Math" w:hAnsi="Cambria Math"/>
            </w:rPr>
            <m:t xml:space="preserve">=</m:t>
          </m:r>
          <m:f>
            <m:num>
              <m:d>
                <m:dPr>
                  <m:begChr m:val="|"/>
                  <m:endChr m:val="|"/>
                </m:dPr>
                <m:e>
                  <m:sSub>
                    <m:e>
                      <m:r>
                        <w:rPr>
                          <w:rFonts w:ascii="Cambria Math" w:hAnsi="Cambria Math"/>
                        </w:rPr>
                        <m:t xml:space="preserve">ΔI</m:t>
                      </m:r>
                    </m:e>
                    <m:sub>
                      <m:r>
                        <m:rPr>
                          <m:lit/>
                          <m:nor/>
                        </m:rPr>
                        <w:rPr>
                          <w:rFonts w:ascii="Cambria Math" w:hAnsi="Cambria Math"/>
                        </w:rPr>
                        <m:t xml:space="preserve">SS</m:t>
                      </m:r>
                    </m:sub>
                  </m:sSub>
                </m:e>
              </m:d>
            </m:num>
            <m:den>
              <m:sSub>
                <m:e>
                  <m:r>
                    <w:rPr>
                      <w:rFonts w:ascii="Cambria Math" w:hAnsi="Cambria Math"/>
                    </w:rPr>
                    <m:t xml:space="preserve">I</m:t>
                  </m:r>
                </m:e>
                <m:sub>
                  <m:r>
                    <m:rPr>
                      <m:lit/>
                      <m:nor/>
                    </m:rPr>
                    <w:rPr>
                      <w:rFonts w:ascii="Cambria Math" w:hAnsi="Cambria Math"/>
                    </w:rPr>
                    <m:t xml:space="preserve">SS</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m:rPr>
                  <m:lit/>
                  <m:nor/>
                </m:rPr>
                <w:rPr>
                  <w:rFonts w:ascii="Cambria Math" w:hAnsi="Cambria Math"/>
                </w:rPr>
                <m:t xml:space="preserve">Lo</m:t>
              </m:r>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SS</m:t>
                  </m:r>
                </m:sub>
              </m:sSub>
            </m:num>
            <m:den>
              <m:sSub>
                <m:e>
                  <m:r>
                    <w:rPr>
                      <w:rFonts w:ascii="Cambria Math" w:hAnsi="Cambria Math"/>
                    </w:rPr>
                    <m:t xml:space="preserve">I</m:t>
                  </m:r>
                </m:e>
                <m:sub>
                  <m:r>
                    <m:rPr>
                      <m:lit/>
                      <m:nor/>
                    </m:rPr>
                    <w:rPr>
                      <w:rFonts w:ascii="Cambria Math" w:hAnsi="Cambria Math"/>
                    </w:rPr>
                    <m:t xml:space="preserve">SS</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Lo</m:t>
                  </m:r>
                </m:sub>
              </m:sSub>
            </m:e>
          </m:d>
          <m:r>
            <w:rPr>
              <w:rFonts w:ascii="Cambria Math" w:hAnsi="Cambria Math"/>
            </w:rPr>
            <m:t xml:space="preserve">=</m:t>
          </m:r>
          <m:d>
            <m:dPr>
              <m:begChr m:val="|"/>
              <m:endChr m:val="|"/>
            </m:dPr>
            <m:e>
              <m:sSub>
                <m:e>
                  <m:r>
                    <w:rPr>
                      <w:rFonts w:ascii="Cambria Math" w:hAnsi="Cambria Math"/>
                    </w:rPr>
                    <m:t xml:space="preserve">δU</m:t>
                  </m:r>
                </m:e>
                <m:sub>
                  <m:r>
                    <m:rPr>
                      <m:lit/>
                      <m:nor/>
                    </m:rPr>
                    <w:rPr>
                      <w:rFonts w:ascii="Cambria Math" w:hAnsi="Cambria Math"/>
                    </w:rPr>
                    <m:t xml:space="preserve">SS</m:t>
                  </m:r>
                </m:sub>
              </m:sSub>
            </m:e>
          </m:d>
          <m:r>
            <w:rPr>
              <w:rFonts w:ascii="Cambria Math" w:hAnsi="Cambria Math"/>
            </w:rPr>
            <m:t xml:space="preserve">+</m:t>
          </m:r>
          <m:d>
            <m:dPr>
              <m:begChr m:val="|"/>
              <m:endChr m:val="|"/>
            </m:dPr>
            <m:e>
              <m:sSub>
                <m:e>
                  <m:r>
                    <w:rPr>
                      <w:rFonts w:ascii="Cambria Math" w:hAnsi="Cambria Math"/>
                    </w:rPr>
                    <m:t xml:space="preserve">δI</m:t>
                  </m:r>
                </m:e>
                <m:sub>
                  <m:r>
                    <m:rPr>
                      <m:lit/>
                      <m:nor/>
                    </m:rPr>
                    <w:rPr>
                      <w:rFonts w:ascii="Cambria Math" w:hAnsi="Cambria Math"/>
                    </w:rPr>
                    <m:t xml:space="preserve">SS</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Lo</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δR</m:t>
                      </m:r>
                    </m:e>
                    <m:sub>
                      <m:r>
                        <m:rPr>
                          <m:lit/>
                          <m:nor/>
                        </m:rPr>
                        <w:rPr>
                          <w:rFonts w:ascii="Cambria Math" w:hAnsi="Cambria Math"/>
                        </w:rPr>
                        <m:t xml:space="preserve">Lo</m:t>
                      </m:r>
                    </m:sub>
                  </m:sSub>
                </m:e>
              </m:d>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Lo</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STŘ</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STŘ</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STŘ</m:t>
                      </m:r>
                    </m:sub>
                  </m:sSub>
                </m:e>
              </m:d>
            </m:num>
            <m:den>
              <m:sSub>
                <m:e>
                  <m:r>
                    <w:rPr>
                      <w:rFonts w:ascii="Cambria Math" w:hAnsi="Cambria Math"/>
                    </w:rPr>
                    <m:t xml:space="preserve">U</m:t>
                  </m:r>
                </m:e>
                <m:sub>
                  <m:r>
                    <m:rPr>
                      <m:lit/>
                      <m:nor/>
                    </m:rPr>
                    <w:rPr>
                      <w:rFonts w:ascii="Cambria Math" w:hAnsi="Cambria Math"/>
                    </w:rPr>
                    <m:t xml:space="preserve">STŘ</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STŘ</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m:rPr>
                      <m:lit/>
                      <m:nor/>
                    </m:rPr>
                    <w:rPr>
                      <w:rFonts w:ascii="Cambria Math" w:hAnsi="Cambria Math"/>
                    </w:rPr>
                    <m:t xml:space="preserve">STŘ</m:t>
                  </m:r>
                </m:sub>
              </m:sSub>
            </m:e>
          </m:d>
          <m:r>
            <w:rPr>
              <w:rFonts w:ascii="Cambria Math" w:hAnsi="Cambria Math"/>
            </w:rPr>
            <m:t xml:space="preserve">=</m:t>
          </m:r>
          <m:f>
            <m:num>
              <m:d>
                <m:dPr>
                  <m:begChr m:val="|"/>
                  <m:endChr m:val="|"/>
                </m:dPr>
                <m:e>
                  <m:sSub>
                    <m:e>
                      <m:r>
                        <w:rPr>
                          <w:rFonts w:ascii="Cambria Math" w:hAnsi="Cambria Math"/>
                        </w:rPr>
                        <m:t xml:space="preserve">ΔI</m:t>
                      </m:r>
                    </m:e>
                    <m:sub>
                      <m:r>
                        <m:rPr>
                          <m:lit/>
                          <m:nor/>
                        </m:rPr>
                        <w:rPr>
                          <w:rFonts w:ascii="Cambria Math" w:hAnsi="Cambria Math"/>
                        </w:rPr>
                        <m:t xml:space="preserve">STŘ</m:t>
                      </m:r>
                    </m:sub>
                  </m:sSub>
                </m:e>
              </m:d>
            </m:num>
            <m:den>
              <m:sSub>
                <m:e>
                  <m:r>
                    <w:rPr>
                      <w:rFonts w:ascii="Cambria Math" w:hAnsi="Cambria Math"/>
                    </w:rPr>
                    <m:t xml:space="preserve">I</m:t>
                  </m:r>
                </m:e>
                <m:sub>
                  <m:r>
                    <m:rPr>
                      <m:lit/>
                      <m:nor/>
                    </m:rPr>
                    <w:rPr>
                      <w:rFonts w:ascii="Cambria Math" w:hAnsi="Cambria Math"/>
                    </w:rPr>
                    <m:t xml:space="preserve">STŘ</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f>
                <m:num>
                  <m:d>
                    <m:dPr>
                      <m:begChr m:val="("/>
                      <m:endChr m:val=")"/>
                    </m:dPr>
                    <m:e>
                      <m:sSub>
                        <m:e>
                          <m:r>
                            <w:rPr>
                              <w:rFonts w:ascii="Cambria Math" w:hAnsi="Cambria Math"/>
                            </w:rPr>
                            <m:t xml:space="preserve">δf</m:t>
                          </m:r>
                        </m:e>
                        <m:sub>
                          <m:r>
                            <m:rPr>
                              <m:lit/>
                              <m:nor/>
                            </m:rPr>
                            <w:rPr>
                              <w:rFonts w:ascii="Cambria Math" w:hAnsi="Cambria Math"/>
                            </w:rPr>
                            <m:t xml:space="preserve">rdg</m:t>
                          </m:r>
                        </m:sub>
                      </m:sSub>
                      <m:r>
                        <w:rPr>
                          <w:rFonts w:ascii="Cambria Math" w:hAnsi="Cambria Math"/>
                        </w:rPr>
                        <m:t xml:space="preserve">∗</m:t>
                      </m:r>
                      <m:r>
                        <w:rPr>
                          <w:rFonts w:ascii="Cambria Math" w:hAnsi="Cambria Math"/>
                        </w:rPr>
                        <m:t xml:space="preserve">f</m:t>
                      </m:r>
                    </m:e>
                  </m:d>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dgt</m:t>
                  </m:r>
                </m:sub>
              </m:sSub>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f>
            <m:num>
              <m:d>
                <m:dPr>
                  <m:begChr m:val="|"/>
                  <m:endChr m:val="|"/>
                </m:dPr>
                <m:e>
                  <m:sSub>
                    <m:e>
                      <m:r>
                        <w:rPr>
                          <w:rFonts w:ascii="Cambria Math" w:hAnsi="Cambria Math"/>
                        </w:rPr>
                        <m:t xml:space="preserve">Δf</m:t>
                      </m:r>
                    </m:e>
                    <m:sub/>
                  </m:sSub>
                </m:e>
              </m:d>
            </m:num>
            <m:den>
              <m:sSub>
                <m:e>
                  <m:r>
                    <w:rPr>
                      <w:rFonts w:ascii="Cambria Math" w:hAnsi="Cambria Math"/>
                    </w:rPr>
                    <m:t xml:space="preserve">f</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Z</m:t>
              </m:r>
            </m:e>
            <m:sub/>
          </m:sSub>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STŘ</m:t>
                  </m:r>
                </m:sub>
              </m:sSub>
            </m:num>
            <m:den>
              <m:sSub>
                <m:e>
                  <m:r>
                    <w:rPr>
                      <w:rFonts w:ascii="Cambria Math" w:hAnsi="Cambria Math"/>
                    </w:rPr>
                    <m:t xml:space="preserve">I</m:t>
                  </m:r>
                </m:e>
                <m:sub>
                  <m:r>
                    <m:rPr>
                      <m:lit/>
                      <m:nor/>
                    </m:rPr>
                    <w:rPr>
                      <w:rFonts w:ascii="Cambria Math" w:hAnsi="Cambria Math"/>
                    </w:rPr>
                    <m:t xml:space="preserve">STŘ</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δZ</m:t>
                  </m:r>
                </m:e>
                <m:sub/>
              </m:sSub>
            </m:e>
          </m:d>
          <m:r>
            <w:rPr>
              <w:rFonts w:ascii="Cambria Math" w:hAnsi="Cambria Math"/>
            </w:rPr>
            <m:t xml:space="preserve">=</m:t>
          </m:r>
          <m:d>
            <m:dPr>
              <m:begChr m:val="|"/>
              <m:endChr m:val="|"/>
            </m:dPr>
            <m:e>
              <m:sSub>
                <m:e>
                  <m:r>
                    <w:rPr>
                      <w:rFonts w:ascii="Cambria Math" w:hAnsi="Cambria Math"/>
                    </w:rPr>
                    <m:t xml:space="preserve">δU</m:t>
                  </m:r>
                </m:e>
                <m:sub>
                  <m:r>
                    <m:rPr>
                      <m:lit/>
                      <m:nor/>
                    </m:rPr>
                    <w:rPr>
                      <w:rFonts w:ascii="Cambria Math" w:hAnsi="Cambria Math"/>
                    </w:rPr>
                    <m:t xml:space="preserve">STŘ</m:t>
                  </m:r>
                </m:sub>
              </m:sSub>
            </m:e>
          </m:d>
          <m:r>
            <w:rPr>
              <w:rFonts w:ascii="Cambria Math" w:hAnsi="Cambria Math"/>
            </w:rPr>
            <m:t xml:space="preserve">+</m:t>
          </m:r>
          <m:d>
            <m:dPr>
              <m:begChr m:val="|"/>
              <m:endChr m:val="|"/>
            </m:dPr>
            <m:e>
              <m:sSub>
                <m:e>
                  <m:r>
                    <w:rPr>
                      <w:rFonts w:ascii="Cambria Math" w:hAnsi="Cambria Math"/>
                    </w:rPr>
                    <m:t xml:space="preserve">δI</m:t>
                  </m:r>
                </m:e>
                <m:sub>
                  <m:r>
                    <m:rPr>
                      <m:lit/>
                      <m:nor/>
                    </m:rPr>
                    <w:rPr>
                      <w:rFonts w:ascii="Cambria Math" w:hAnsi="Cambria Math"/>
                    </w:rPr>
                    <m:t xml:space="preserve">STŘ</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ΔZ</m:t>
                  </m:r>
                </m:e>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δZ</m:t>
                      </m:r>
                    </m:e>
                    <m:sub/>
                  </m:sSub>
                </m:e>
              </m:d>
              <m:r>
                <w:rPr>
                  <w:rFonts w:ascii="Cambria Math" w:hAnsi="Cambria Math"/>
                </w:rPr>
                <m:t xml:space="preserve">∗</m:t>
              </m:r>
              <m:sSub>
                <m:e>
                  <m:r>
                    <w:rPr>
                      <w:rFonts w:ascii="Cambria Math" w:hAnsi="Cambria Math"/>
                    </w:rPr>
                    <m:t xml:space="preserve">Z</m:t>
                  </m:r>
                </m:e>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f>
            <m:num>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f</m:t>
              </m:r>
            </m:den>
          </m:f>
          <m:r>
            <w:rPr>
              <w:rFonts w:ascii="Cambria Math" w:hAnsi="Cambria Math"/>
            </w:rPr>
            <m:t xml:space="preserve">=</m:t>
          </m:r>
          <m:f>
            <m:num>
              <m:rad>
                <m:radPr>
                  <m:degHide m:val="1"/>
                </m:radPr>
                <m:deg/>
                <m:e>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r>
                    <w:rPr>
                      <w:rFonts w:ascii="Cambria Math" w:hAnsi="Cambria Math"/>
                    </w:rPr>
                    <m:t xml:space="preserve">−</m:t>
                  </m:r>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e>
              </m:rad>
            </m:num>
            <m:den>
              <m:r>
                <w:rPr>
                  <w:rFonts w:ascii="Cambria Math" w:hAnsi="Cambria Math"/>
                </w:rPr>
                <m:t xml:space="preserve">2</m:t>
              </m:r>
              <m:r>
                <w:rPr>
                  <w:rFonts w:ascii="Cambria Math" w:hAnsi="Cambria Math"/>
                </w:rPr>
                <m:t xml:space="preserve">∗</m:t>
              </m:r>
              <m:r>
                <w:rPr>
                  <w:rFonts w:ascii="Cambria Math" w:hAnsi="Cambria Math"/>
                </w:rPr>
                <m:t xml:space="preserve">π</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t>=</w:t>
      </w:r>
      <w:r>
        <w:rPr/>
      </w:r>
      <m:oMath xmlns:m="http://schemas.openxmlformats.org/officeDocument/2006/math">
        <m:eqArr>
          <m:e>
            <m:d>
              <m:dPr>
                <m:begChr m:val="|"/>
                <m:endChr m:val="|"/>
              </m:dPr>
              <m:e>
                <m:sSub>
                  <m:e>
                    <m:r>
                      <w:rPr>
                        <w:rFonts w:ascii="Cambria Math" w:hAnsi="Cambria Math"/>
                      </w:rPr>
                      <m:t xml:space="preserve">δL</m:t>
                    </m:r>
                  </m:e>
                  <m:sub>
                    <m:r>
                      <w:rPr>
                        <w:rFonts w:ascii="Cambria Math" w:hAnsi="Cambria Math"/>
                      </w:rPr>
                      <m:t xml:space="preserve">O</m:t>
                    </m:r>
                  </m:sub>
                </m:sSub>
              </m:e>
            </m:d>
            <m:r>
              <w:rPr>
                <w:rFonts w:ascii="Cambria Math" w:hAnsi="Cambria Math"/>
              </w:rPr>
              <m:t xml:space="preserve">=</m:t>
            </m:r>
            <m:d>
              <m:dPr>
                <m:begChr m:val="|"/>
                <m:endChr m:val="|"/>
              </m:dPr>
              <m:e>
                <m:sSub>
                  <m:e>
                    <m:r>
                      <w:rPr>
                        <w:rFonts w:ascii="Cambria Math" w:hAnsi="Cambria Math"/>
                      </w:rPr>
                      <m:t xml:space="preserve">δ</m:t>
                    </m:r>
                  </m:e>
                  <m:sub>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sub>
                </m:sSub>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sSub>
                  <m:e>
                    <m:r>
                      <w:rPr>
                        <w:rFonts w:ascii="Cambria Math" w:hAnsi="Cambria Math"/>
                      </w:rPr>
                      <m:t xml:space="preserve">δ</m:t>
                    </m:r>
                  </m:e>
                  <m:sub>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sub>
                </m:sSub>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d>
                      <m:dPr>
                        <m:begChr m:val="|"/>
                        <m:endChr m:val="|"/>
                      </m:dPr>
                      <m:e>
                        <m:sSub>
                          <m:e>
                            <m:r>
                              <w:rPr>
                                <w:rFonts w:ascii="Cambria Math" w:hAnsi="Cambria Math"/>
                              </w:rPr>
                              <m:t xml:space="preserve">Δ</m:t>
                            </m:r>
                          </m:e>
                          <m:sub>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sub>
                        </m:sSub>
                      </m:e>
                    </m:d>
                  </m:num>
                  <m:den>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d>
                      <m:dPr>
                        <m:begChr m:val="|"/>
                        <m:endChr m:val="|"/>
                      </m:dPr>
                      <m:e>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ΔZ</m:t>
                                </m:r>
                              </m:e>
                              <m:sub/>
                            </m:sSub>
                          </m:e>
                        </m:d>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ΔR</m:t>
                                </m:r>
                              </m:e>
                              <m:sub/>
                            </m:sSub>
                          </m:e>
                        </m:d>
                      </m:e>
                    </m:d>
                  </m:num>
                  <m:den>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r>
                      <w:rPr>
                        <w:rFonts w:ascii="Cambria Math" w:hAnsi="Cambria Math"/>
                      </w:rPr>
                      <m:t xml:space="preserve">2</m:t>
                    </m:r>
                    <m:r>
                      <w:rPr>
                        <w:rFonts w:ascii="Cambria Math" w:hAnsi="Cambria Math"/>
                      </w:rPr>
                      <m:t xml:space="preserve">∗</m:t>
                    </m:r>
                    <m:d>
                      <m:dPr>
                        <m:begChr m:val="("/>
                        <m:endChr m:val=")"/>
                      </m:dPr>
                      <m:e>
                        <m:d>
                          <m:dPr>
                            <m:begChr m:val="|"/>
                            <m:endChr m:val="|"/>
                          </m:dPr>
                          <m:e>
                            <m:sSub>
                              <m:e>
                                <m:r>
                                  <w:rPr>
                                    <w:rFonts w:ascii="Cambria Math" w:hAnsi="Cambria Math"/>
                                  </w:rPr>
                                  <m:t xml:space="preserve">ΔZ</m:t>
                                </m:r>
                              </m:e>
                              <m:sub/>
                            </m:sSub>
                          </m:e>
                        </m:d>
                        <m:r>
                          <w:rPr>
                            <w:rFonts w:ascii="Cambria Math" w:hAnsi="Cambria Math"/>
                          </w:rPr>
                          <m:t xml:space="preserve">+</m:t>
                        </m:r>
                        <m:d>
                          <m:dPr>
                            <m:begChr m:val="|"/>
                            <m:endChr m:val="|"/>
                          </m:dPr>
                          <m:e>
                            <m:sSub>
                              <m:e>
                                <m:r>
                                  <w:rPr>
                                    <w:rFonts w:ascii="Cambria Math" w:hAnsi="Cambria Math"/>
                                  </w:rPr>
                                  <m:t xml:space="preserve">ΔR</m:t>
                                </m:r>
                              </m:e>
                              <m:sub/>
                            </m:sSub>
                          </m:e>
                        </m:d>
                      </m:e>
                    </m:d>
                  </m:num>
                  <m:den>
                    <m:rad>
                      <m:radPr>
                        <m:degHide m:val="1"/>
                      </m:radPr>
                      <m:deg/>
                      <m:e>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rad>
                  </m:den>
                </m:f>
              </m:e>
            </m:d>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f>
                  <m:num>
                    <m:d>
                      <m:dPr>
                        <m:begChr m:val="("/>
                        <m:endChr m:val=")"/>
                      </m:dPr>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d>
                  </m:num>
                  <m:den>
                    <m:rad>
                      <m:radPr>
                        <m:degHide m:val="1"/>
                      </m:radPr>
                      <m:deg/>
                      <m:e>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r>
                          <w:rPr>
                            <w:rFonts w:ascii="Cambria Math" w:hAnsi="Cambria Math"/>
                          </w:rPr>
                          <m:t xml:space="preserve">−</m:t>
                        </m:r>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e>
                    </m:rad>
                  </m:den>
                </m:f>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f>
                  <m:num>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num>
                  <m:den>
                    <m:rad>
                      <m:radPr>
                        <m:degHide m:val="1"/>
                      </m:radPr>
                      <m:deg/>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rad>
                  </m:den>
                </m:f>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eqArr>
      </m:oMath>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ΔL</m:t>
                  </m:r>
                </m:e>
                <m:sub>
                  <m:r>
                    <w:rPr>
                      <w:rFonts w:ascii="Cambria Math" w:hAnsi="Cambria Math"/>
                    </w:rPr>
                    <m:t xml:space="preserve">O</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δL</m:t>
                      </m:r>
                    </m:e>
                    <m:sub>
                      <m:r>
                        <w:rPr>
                          <w:rFonts w:ascii="Cambria Math" w:hAnsi="Cambria Math"/>
                        </w:rPr>
                        <m:t xml:space="preserve">O</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3"/>
        <w:rPr/>
      </w:pPr>
      <w:r>
        <w:rPr/>
        <w:t>Rezonanční metoda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sSub>
            </m:e>
          </m:d>
          <m:r>
            <w:rPr>
              <w:rFonts w:ascii="Cambria Math" w:hAnsi="Cambria Math"/>
            </w:rPr>
            <m:t xml:space="preserve">=</m:t>
          </m:r>
          <m:f>
            <m:num>
              <m:d>
                <m:dPr>
                  <m:begChr m:val="|"/>
                  <m:endChr m:val="|"/>
                </m:dPr>
                <m:e>
                  <m:sSub>
                    <m:e>
                      <m:r>
                        <w:rPr>
                          <w:rFonts w:ascii="Cambria Math" w:hAnsi="Cambria Math"/>
                        </w:rPr>
                        <m:t xml:space="preserve">ΔU</m:t>
                      </m:r>
                    </m:e>
                    <m:sub/>
                  </m:sSub>
                </m:e>
              </m:d>
            </m:num>
            <m:den>
              <m:sSub>
                <m:e>
                  <m:r>
                    <w:rPr>
                      <w:rFonts w:ascii="Cambria Math" w:hAnsi="Cambria Math"/>
                    </w:rPr>
                    <m:t xml:space="preserve">U</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w:rPr>
                      <w:rFonts w:ascii="Cambria Math" w:hAnsi="Cambria Math"/>
                    </w:rPr>
                    <m:t xml:space="preserve">r</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δI</m:t>
                  </m:r>
                </m:e>
                <m:sub>
                  <m:r>
                    <w:rPr>
                      <w:rFonts w:ascii="Cambria Math" w:hAnsi="Cambria Math"/>
                    </w:rPr>
                    <m:t xml:space="preserve">r</m:t>
                  </m:r>
                </m:sub>
              </m:sSub>
            </m:e>
          </m:d>
          <m:r>
            <w:rPr>
              <w:rFonts w:ascii="Cambria Math" w:hAnsi="Cambria Math"/>
            </w:rPr>
            <m:t xml:space="preserve">=</m:t>
          </m:r>
          <m:f>
            <m:num>
              <m:d>
                <m:dPr>
                  <m:begChr m:val="|"/>
                  <m:endChr m:val="|"/>
                </m:dPr>
                <m:e>
                  <m:sSub>
                    <m:e>
                      <m:r>
                        <w:rPr>
                          <w:rFonts w:ascii="Cambria Math" w:hAnsi="Cambria Math"/>
                        </w:rPr>
                        <m:t xml:space="preserve">ΔI</m:t>
                      </m:r>
                    </m:e>
                    <m:sub>
                      <m:r>
                        <w:rPr>
                          <w:rFonts w:ascii="Cambria Math" w:hAnsi="Cambria Math"/>
                        </w:rPr>
                        <m:t xml:space="preserve">r</m:t>
                      </m:r>
                    </m:sub>
                  </m:sSub>
                </m:e>
              </m:d>
            </m:num>
            <m:den>
              <m:sSub>
                <m:e>
                  <m:r>
                    <w:rPr>
                      <w:rFonts w:ascii="Cambria Math" w:hAnsi="Cambria Math"/>
                    </w:rPr>
                    <m:t xml:space="preserve">I</m:t>
                  </m:r>
                </m:e>
                <m:sub>
                  <m:r>
                    <w:rPr>
                      <w:rFonts w:ascii="Cambria Math" w:hAnsi="Cambria Math"/>
                    </w:rPr>
                    <m:t xml:space="preserve">r</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m:rPr>
                  <m:lit/>
                  <m:nor/>
                </m:rPr>
                <w:rPr>
                  <w:rFonts w:ascii="Cambria Math" w:hAnsi="Cambria Math"/>
                </w:rPr>
                <m:t xml:space="preserve">Lr</m:t>
              </m:r>
            </m:sub>
          </m:sSub>
          <m:r>
            <w:rPr>
              <w:rFonts w:ascii="Cambria Math" w:hAnsi="Cambria Math"/>
            </w:rPr>
            <m:t xml:space="preserve">=</m:t>
          </m:r>
          <m:f>
            <m:num>
              <m:sSub>
                <m:e>
                  <m:r>
                    <w:rPr>
                      <w:rFonts w:ascii="Cambria Math" w:hAnsi="Cambria Math"/>
                    </w:rPr>
                    <m:t xml:space="preserve">U</m:t>
                  </m:r>
                </m:e>
                <m:sub/>
              </m:sSub>
            </m:num>
            <m:den>
              <m:sSub>
                <m:e>
                  <m:r>
                    <w:rPr>
                      <w:rFonts w:ascii="Cambria Math" w:hAnsi="Cambria Math"/>
                    </w:rPr>
                    <m:t xml:space="preserve">I</m:t>
                  </m:r>
                </m:e>
                <m:sub>
                  <m:r>
                    <w:rPr>
                      <w:rFonts w:ascii="Cambria Math" w:hAnsi="Cambria Math"/>
                    </w:rPr>
                    <m:t xml:space="preserve">r</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Lr</m:t>
                  </m:r>
                </m:sub>
              </m:sSub>
            </m:e>
          </m:d>
          <m:r>
            <w:rPr>
              <w:rFonts w:ascii="Cambria Math" w:hAnsi="Cambria Math"/>
            </w:rPr>
            <m:t xml:space="preserve">=</m:t>
          </m:r>
          <m:d>
            <m:dPr>
              <m:begChr m:val="|"/>
              <m:endChr m:val="|"/>
            </m:dPr>
            <m:e>
              <m:sSub>
                <m:e>
                  <m:r>
                    <w:rPr>
                      <w:rFonts w:ascii="Cambria Math" w:hAnsi="Cambria Math"/>
                    </w:rPr>
                    <m:t xml:space="preserve">δU</m:t>
                  </m:r>
                </m:e>
                <m:sub/>
              </m:sSub>
            </m:e>
          </m:d>
          <m:r>
            <w:rPr>
              <w:rFonts w:ascii="Cambria Math" w:hAnsi="Cambria Math"/>
            </w:rPr>
            <m:t xml:space="preserve">+</m:t>
          </m:r>
          <m:d>
            <m:dPr>
              <m:begChr m:val="|"/>
              <m:endChr m:val="|"/>
            </m:dPr>
            <m:e>
              <m:sSub>
                <m:e>
                  <m:r>
                    <w:rPr>
                      <w:rFonts w:ascii="Cambria Math" w:hAnsi="Cambria Math"/>
                    </w:rPr>
                    <m:t xml:space="preserve">δI</m:t>
                  </m:r>
                </m:e>
                <m:sub>
                  <m:r>
                    <w:rPr>
                      <w:rFonts w:ascii="Cambria Math" w:hAnsi="Cambria Math"/>
                    </w:rPr>
                    <m:t xml:space="preserve">r</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m:rPr>
                      <m:lit/>
                      <m:nor/>
                    </m:rPr>
                    <w:rPr>
                      <w:rFonts w:ascii="Cambria Math" w:hAnsi="Cambria Math"/>
                    </w:rPr>
                    <m:t xml:space="preserve">Lr</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δR</m:t>
                      </m:r>
                    </m:e>
                    <m:sub>
                      <m:r>
                        <m:rPr>
                          <m:lit/>
                          <m:nor/>
                        </m:rPr>
                        <w:rPr>
                          <w:rFonts w:ascii="Cambria Math" w:hAnsi="Cambria Math"/>
                        </w:rPr>
                        <m:t xml:space="preserve">Lr</m:t>
                      </m:r>
                    </m:sub>
                  </m:sSub>
                </m:e>
              </m:d>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Lr</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f>
                <m:num>
                  <m:d>
                    <m:dPr>
                      <m:begChr m:val="("/>
                      <m:endChr m:val=")"/>
                    </m:dPr>
                    <m:e>
                      <m:sSub>
                        <m:e>
                          <m:r>
                            <w:rPr>
                              <w:rFonts w:ascii="Cambria Math" w:hAnsi="Cambria Math"/>
                            </w:rPr>
                            <m:t xml:space="preserve">δf</m:t>
                          </m:r>
                        </m:e>
                        <m:sub>
                          <m:r>
                            <m:rPr>
                              <m:lit/>
                              <m:nor/>
                            </m:rPr>
                            <w:rPr>
                              <w:rFonts w:ascii="Cambria Math" w:hAnsi="Cambria Math"/>
                            </w:rPr>
                            <m:t xml:space="preserve">rdg</m:t>
                          </m:r>
                        </m:sub>
                      </m:sSub>
                      <m:r>
                        <w:rPr>
                          <w:rFonts w:ascii="Cambria Math" w:hAnsi="Cambria Math"/>
                        </w:rPr>
                        <m:t xml:space="preserve">∗</m:t>
                      </m:r>
                      <m:r>
                        <w:rPr>
                          <w:rFonts w:ascii="Cambria Math" w:hAnsi="Cambria Math"/>
                        </w:rPr>
                        <m:t xml:space="preserve">f</m:t>
                      </m:r>
                    </m:e>
                  </m:d>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dgt</m:t>
                  </m:r>
                </m:sub>
              </m:sSub>
            </m:e>
          </m:d>
          <m: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δf</m:t>
                  </m:r>
                </m:e>
                <m:sub/>
              </m:sSub>
            </m:e>
          </m:d>
          <m:r>
            <w:rPr>
              <w:rFonts w:ascii="Cambria Math" w:hAnsi="Cambria Math"/>
            </w:rPr>
            <m:t xml:space="preserve">=</m:t>
          </m:r>
          <m:f>
            <m:num>
              <m:d>
                <m:dPr>
                  <m:begChr m:val="|"/>
                  <m:endChr m:val="|"/>
                </m:dPr>
                <m:e>
                  <m:sSub>
                    <m:e>
                      <m:r>
                        <w:rPr>
                          <w:rFonts w:ascii="Cambria Math" w:hAnsi="Cambria Math"/>
                        </w:rPr>
                        <m:t xml:space="preserve">Δf</m:t>
                      </m:r>
                    </m:e>
                    <m:sub/>
                  </m:sSub>
                </m:e>
              </m:d>
            </m:num>
            <m:den>
              <m:sSub>
                <m:e>
                  <m:r>
                    <w:rPr>
                      <w:rFonts w:ascii="Cambria Math" w:hAnsi="Cambria Math"/>
                    </w:rPr>
                    <m:t xml:space="preserve">f</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L</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m:t>
                      </m:r>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e>
              </m:d>
            </m:den>
          </m:f>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en>
          </m:f>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δL</m:t>
                  </m:r>
                </m:e>
                <m:sub>
                  <m:r>
                    <w:rPr>
                      <w:rFonts w:ascii="Cambria Math" w:hAnsi="Cambria Math"/>
                    </w:rPr>
                    <m:t xml:space="preserve">r</m:t>
                  </m:r>
                </m:sub>
              </m:sSub>
            </m:e>
          </m:d>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δf</m:t>
                  </m:r>
                </m:e>
                <m:sub/>
              </m:sSub>
            </m:e>
          </m:d>
          <m:r>
            <w:rPr>
              <w:rFonts w:ascii="Cambria Math" w:hAnsi="Cambria Math"/>
            </w:rPr>
            <m:t xml:space="preserve">+</m:t>
          </m:r>
          <m:d>
            <m:dPr>
              <m:begChr m:val="|"/>
              <m:endChr m:val="|"/>
            </m:dPr>
            <m:e>
              <m:sSub>
                <m:e>
                  <m:r>
                    <w:rPr>
                      <w:rFonts w:ascii="Cambria Math" w:hAnsi="Cambria Math"/>
                    </w:rPr>
                    <m:t xml:space="preserve">δC</m:t>
                  </m:r>
                </m:e>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ΔL</m:t>
                  </m:r>
                </m:e>
                <m:sub>
                  <m:r>
                    <w:rPr>
                      <w:rFonts w:ascii="Cambria Math" w:hAnsi="Cambria Math"/>
                    </w:rPr>
                    <m:t xml:space="preserve">r</m:t>
                  </m:r>
                </m:sub>
              </m:sSub>
            </m:e>
          </m:d>
          <m:r>
            <w:rPr>
              <w:rFonts w:ascii="Cambria Math" w:hAnsi="Cambria Math"/>
            </w:rPr>
            <m:t xml:space="preserve">=</m:t>
          </m:r>
          <m:r>
            <m:rPr>
              <m:lit/>
              <m:nor/>
            </m:rPr>
            <w:rPr>
              <w:rFonts w:ascii="Cambria Math" w:hAnsi="Cambria Math"/>
            </w:rPr>
            <m:t xml:space="preserve">.</m:t>
          </m:r>
          <m:f>
            <m:num>
              <m:d>
                <m:dPr>
                  <m:begChr m:val="|"/>
                  <m:endChr m:val="|"/>
                </m:dPr>
                <m:e>
                  <m:sSub>
                    <m:e>
                      <m:r>
                        <w:rPr>
                          <w:rFonts w:ascii="Cambria Math" w:hAnsi="Cambria Math"/>
                        </w:rPr>
                        <m:t xml:space="preserve">δL</m:t>
                      </m:r>
                    </m:e>
                    <m:sub>
                      <m:r>
                        <w:rPr>
                          <w:rFonts w:ascii="Cambria Math" w:hAnsi="Cambria Math"/>
                        </w:rPr>
                        <m:t xml:space="preserve">r</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r</m:t>
                  </m:r>
                </m:sub>
              </m:sSub>
            </m:num>
            <m:den>
              <m:r>
                <m:rPr>
                  <m:lit/>
                  <m:nor/>
                </m:rPr>
                <w:rPr>
                  <w:rFonts w:ascii="Cambria Math" w:hAnsi="Cambria Math"/>
                </w:rPr>
                <m:t xml:space="preserve">100</m:t>
              </m:r>
            </m:den>
          </m:f>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100</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3"/>
        <w:rPr/>
      </w:pPr>
      <w:r>
        <w:rPr/>
        <w:t>Činitel jakosti</w:t>
      </w:r>
    </w:p>
    <w:p>
      <w:pPr>
        <w:pStyle w:val="Normal"/>
        <w:rPr/>
      </w:pPr>
      <w:r>
        <w:rPr/>
        <w:t>Vypočtený z parametrů cívky zjištěných RLC můstkem:</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V</m:t>
              </m:r>
            </m:sub>
          </m:sSub>
          <m:r>
            <w:rPr>
              <w:rFonts w:ascii="Cambria Math" w:hAnsi="Cambria Math"/>
            </w:rPr>
            <m:t xml:space="preserve">=</m:t>
          </m:r>
          <m:f>
            <m:num>
              <m:r>
                <w:rPr>
                  <w:rFonts w:ascii="Cambria Math" w:hAnsi="Cambria Math"/>
                </w:rPr>
                <m:t xml:space="preserve">ω</m:t>
              </m:r>
              <m:r>
                <w:rPr>
                  <w:rFonts w:ascii="Cambria Math" w:hAnsi="Cambria Math"/>
                </w:rPr>
                <m:t xml:space="preserve">∗</m:t>
              </m:r>
              <m:r>
                <w:rPr>
                  <w:rFonts w:ascii="Cambria Math" w:hAnsi="Cambria Math"/>
                </w:rPr>
                <m:t xml:space="preserve">L</m:t>
              </m:r>
            </m:num>
            <m:den>
              <m:r>
                <w:rPr>
                  <w:rFonts w:ascii="Cambria Math" w:hAnsi="Cambria Math"/>
                </w:rPr>
                <m:t xml:space="preserve">R</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Vypočtený z naměřených hodnot napětí:</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C</m:t>
                  </m:r>
                </m:sub>
              </m:sSub>
            </m:num>
            <m:den>
              <m:sSub>
                <m:e>
                  <m:r>
                    <w:rPr>
                      <w:rFonts w:ascii="Cambria Math" w:hAnsi="Cambria Math"/>
                    </w:rPr>
                    <m:t xml:space="preserve">U</m:t>
                  </m:r>
                </m:e>
                <m:sub>
                  <m:r>
                    <w:rPr>
                      <w:rFonts w:ascii="Cambria Math" w:hAnsi="Cambria Math"/>
                    </w:rPr>
                    <m:t xml:space="preserve">g</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b/>
          <w:bCs/>
        </w:rPr>
      </w:pPr>
      <w:r>
        <w:rPr>
          <w:b/>
          <w:bCs/>
        </w:rPr>
      </w:r>
    </w:p>
    <w:p>
      <w:pPr>
        <w:pStyle w:val="Normal"/>
        <w:jc w:val="center"/>
        <w:rPr>
          <w:b/>
          <w:bCs/>
        </w:rPr>
      </w:pPr>
      <w:r>
        <w:rPr>
          <w:b/>
          <w:bCs/>
        </w:rPr>
      </w:r>
    </w:p>
    <w:p>
      <w:pPr>
        <w:pStyle w:val="Heading3"/>
        <w:rPr/>
      </w:pPr>
      <w:r>
        <w:rPr/>
        <w:t>Závěrečné zhodnocení jednotlivých metod – reference: údaj RLC můstku</w:t>
      </w:r>
    </w:p>
    <w:p>
      <w:pPr>
        <w:pStyle w:val="Normal"/>
        <w:rPr/>
      </w:pPr>
      <w:r>
        <w:rPr/>
        <w:t>Absolutní chyba Ohmovy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Lo</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Relativní chyba Ohmovy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OHM</m:t>
              </m:r>
            </m:sub>
          </m:sSub>
          <m:r>
            <w:rPr>
              <w:rFonts w:ascii="Cambria Math" w:hAnsi="Cambria Math"/>
            </w:rPr>
            <m:t xml:space="preserve">=</m:t>
          </m:r>
          <m:f>
            <m:num>
              <m:sSub>
                <m:e>
                  <m:r>
                    <w:rPr>
                      <w:rFonts w:ascii="Cambria Math" w:hAnsi="Cambria Math"/>
                    </w:rPr>
                    <m:t xml:space="preserve">ΔR</m:t>
                  </m:r>
                </m:e>
                <m:sub>
                  <m:r>
                    <m:rPr>
                      <m:lit/>
                      <m:nor/>
                    </m:rPr>
                    <w:rPr>
                      <w:rFonts w:ascii="Cambria Math" w:hAnsi="Cambria Math"/>
                    </w:rPr>
                    <m:t xml:space="preserve">OHM</m:t>
                  </m:r>
                </m:sub>
              </m:sSub>
            </m:num>
            <m:den>
              <m:sSub>
                <m:e>
                  <m:r>
                    <w:rPr>
                      <w:rFonts w:ascii="Cambria Math" w:hAnsi="Cambria Math"/>
                    </w:rPr>
                    <m:t xml:space="preserve">R</m:t>
                  </m:r>
                </m:e>
                <m:sub>
                  <m:r>
                    <w:rPr>
                      <w:rFonts w:ascii="Cambria Math" w:hAnsi="Cambria Math"/>
                    </w:rPr>
                    <m:t xml:space="preserve">L</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Absolutní chyba Ohmovy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OHM</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L</m:t>
              </m:r>
            </m:e>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Relativní chyba Ohmovy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OHM</m:t>
              </m:r>
            </m:sub>
          </m:sSub>
          <m:r>
            <w:rPr>
              <w:rFonts w:ascii="Cambria Math" w:hAnsi="Cambria Math"/>
            </w:rPr>
            <m:t xml:space="preserve">=</m:t>
          </m:r>
          <m:f>
            <m:num>
              <m:sSub>
                <m:e>
                  <m:r>
                    <w:rPr>
                      <w:rFonts w:ascii="Cambria Math" w:hAnsi="Cambria Math"/>
                    </w:rPr>
                    <m:t xml:space="preserve">ΔL</m:t>
                  </m:r>
                </m:e>
                <m:sub>
                  <m:r>
                    <m:rPr>
                      <m:lit/>
                      <m:nor/>
                    </m:rPr>
                    <w:rPr>
                      <w:rFonts w:ascii="Cambria Math" w:hAnsi="Cambria Math"/>
                    </w:rPr>
                    <m:t xml:space="preserve">OHM</m:t>
                  </m:r>
                </m:sub>
              </m:sSub>
            </m:num>
            <m:den>
              <m:sSub>
                <m:e>
                  <m:r>
                    <w:rPr>
                      <w:rFonts w:ascii="Cambria Math" w:hAnsi="Cambria Math"/>
                    </w:rPr>
                    <m:t xml:space="preserve">L</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Absolutní chyba rezonanční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REZ</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Lrez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Relativní chyba rezonanční metody měření R:</w:t>
      </w:r>
    </w:p>
    <w:p>
      <w:pPr>
        <w:pStyle w:val="Normal"/>
        <w:jc w:val="center"/>
        <w:rPr/>
      </w:pPr>
      <w:r>
        <w:rPr/>
      </w:r>
      <m:oMathPara xmlns:m="http://schemas.openxmlformats.org/officeDocument/2006/math">
        <m:oMathParaPr>
          <m:jc m:val="center"/>
        </m:oMathParaPr>
        <m:oMath>
          <m:sSub>
            <m:e>
              <m:r>
                <w:rPr>
                  <w:rFonts w:ascii="Cambria Math" w:hAnsi="Cambria Math"/>
                </w:rPr>
                <m:t xml:space="preserve">δR</m:t>
              </m:r>
            </m:e>
            <m:sub>
              <m:r>
                <m:rPr>
                  <m:lit/>
                  <m:nor/>
                </m:rPr>
                <w:rPr>
                  <w:rFonts w:ascii="Cambria Math" w:hAnsi="Cambria Math"/>
                </w:rPr>
                <m:t xml:space="preserve">REZ</m:t>
              </m:r>
            </m:sub>
          </m:sSub>
          <m:r>
            <w:rPr>
              <w:rFonts w:ascii="Cambria Math" w:hAnsi="Cambria Math"/>
            </w:rPr>
            <m:t xml:space="preserve">=</m:t>
          </m:r>
          <m:f>
            <m:num>
              <m:sSub>
                <m:e>
                  <m:r>
                    <w:rPr>
                      <w:rFonts w:ascii="Cambria Math" w:hAnsi="Cambria Math"/>
                    </w:rPr>
                    <m:t xml:space="preserve">ΔR</m:t>
                  </m:r>
                </m:e>
                <m:sub>
                  <m:r>
                    <m:rPr>
                      <m:lit/>
                      <m:nor/>
                    </m:rPr>
                    <w:rPr>
                      <w:rFonts w:ascii="Cambria Math" w:hAnsi="Cambria Math"/>
                    </w:rPr>
                    <m:t xml:space="preserve">REZ</m:t>
                  </m:r>
                </m:sub>
              </m:sSub>
            </m:num>
            <m:den>
              <m:sSub>
                <m:e>
                  <m:r>
                    <w:rPr>
                      <w:rFonts w:ascii="Cambria Math" w:hAnsi="Cambria Math"/>
                    </w:rPr>
                    <m:t xml:space="preserve">R</m:t>
                  </m:r>
                </m:e>
                <m:sub>
                  <m:r>
                    <w:rPr>
                      <w:rFonts w:ascii="Cambria Math" w:hAnsi="Cambria Math"/>
                    </w:rPr>
                    <m:t xml:space="preserve">L</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Absolutní chyba rezonanční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REZ</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REZ</m:t>
              </m:r>
            </m:sub>
          </m:sSub>
          <m:r>
            <w:rPr>
              <w:rFonts w:ascii="Cambria Math" w:hAnsi="Cambria Math"/>
            </w:rPr>
            <m:t xml:space="preserve">−</m:t>
          </m:r>
          <m:sSub>
            <m:e>
              <m:r>
                <w:rPr>
                  <w:rFonts w:ascii="Cambria Math" w:hAnsi="Cambria Math"/>
                </w:rPr>
                <m:t xml:space="preserve">L</m:t>
              </m:r>
            </m:e>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Relativní chyba rezonanční metody měření L:</w:t>
      </w:r>
    </w:p>
    <w:p>
      <w:pPr>
        <w:pStyle w:val="Normal"/>
        <w:jc w:val="center"/>
        <w:rPr/>
      </w:pPr>
      <w:r>
        <w:rPr/>
      </w:r>
      <m:oMathPara xmlns:m="http://schemas.openxmlformats.org/officeDocument/2006/math">
        <m:oMathParaPr>
          <m:jc m:val="center"/>
        </m:oMathParaPr>
        <m:oMath>
          <m:sSub>
            <m:e>
              <m:r>
                <w:rPr>
                  <w:rFonts w:ascii="Cambria Math" w:hAnsi="Cambria Math"/>
                </w:rPr>
                <m:t xml:space="preserve">δL</m:t>
              </m:r>
            </m:e>
            <m:sub>
              <m:r>
                <m:rPr>
                  <m:lit/>
                  <m:nor/>
                </m:rPr>
                <w:rPr>
                  <w:rFonts w:ascii="Cambria Math" w:hAnsi="Cambria Math"/>
                </w:rPr>
                <m:t xml:space="preserve">REZ</m:t>
              </m:r>
            </m:sub>
          </m:sSub>
          <m:r>
            <w:rPr>
              <w:rFonts w:ascii="Cambria Math" w:hAnsi="Cambria Math"/>
            </w:rPr>
            <m:t xml:space="preserve">=</m:t>
          </m:r>
          <m:f>
            <m:num>
              <m:sSub>
                <m:e>
                  <m:r>
                    <w:rPr>
                      <w:rFonts w:ascii="Cambria Math" w:hAnsi="Cambria Math"/>
                    </w:rPr>
                    <m:t xml:space="preserve">ΔL</m:t>
                  </m:r>
                </m:e>
                <m:sub>
                  <m:r>
                    <m:rPr>
                      <m:lit/>
                      <m:nor/>
                    </m:rPr>
                    <w:rPr>
                      <w:rFonts w:ascii="Cambria Math" w:hAnsi="Cambria Math"/>
                    </w:rPr>
                    <m:t xml:space="preserve">REZ</m:t>
                  </m:r>
                </m:sub>
              </m:sSub>
            </m:num>
            <m:den>
              <m:sSub>
                <m:e>
                  <m:r>
                    <w:rPr>
                      <w:rFonts w:ascii="Cambria Math" w:hAnsi="Cambria Math"/>
                    </w:rPr>
                    <m:t xml:space="preserve">L</m:t>
                  </m:r>
                </m:e>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Heading2"/>
        <w:rPr/>
      </w:pPr>
      <w:r>
        <w:rPr/>
        <w:t>Tabulky vypočtených hodnot</w:t>
      </w:r>
    </w:p>
    <w:p>
      <w:pPr>
        <w:pStyle w:val="Normal"/>
        <w:rPr/>
      </w:pPr>
      <w:r>
        <w:rPr/>
        <w:t>Systematické chyby vycházející z chyb MP, zamyslete se nad významem metodických chyb.</w:t>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Ohmova metoda - stejnosměrná část</w:t>
      </w:r>
    </w:p>
    <w:tbl>
      <w:tblPr>
        <w:tblW w:w="672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59"/>
        <w:gridCol w:w="961"/>
        <w:gridCol w:w="959"/>
        <w:gridCol w:w="961"/>
        <w:gridCol w:w="959"/>
        <w:gridCol w:w="960"/>
      </w:tblGrid>
      <w:tr>
        <w:trPr>
          <w:trHeight w:val="285" w:hRule="atLeast"/>
        </w:trPr>
        <w:tc>
          <w:tcPr>
            <w:tcW w:w="6719" w:type="dxa"/>
            <w:gridSpan w:val="7"/>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ztrátového odporu R</w:t>
            </w:r>
            <w:r>
              <w:rPr>
                <w:b/>
                <w:bCs/>
                <w:szCs w:val="20"/>
                <w:vertAlign w:val="subscript"/>
              </w:rPr>
              <w:t>Lo</w:t>
            </w:r>
          </w:p>
        </w:tc>
      </w:tr>
      <w:tr>
        <w:trPr>
          <w:trHeight w:val="285" w:hRule="atLeast"/>
        </w:trPr>
        <w:tc>
          <w:tcPr>
            <w:tcW w:w="960"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Uss</w:t>
            </w:r>
            <w:r>
              <w:rPr>
                <w:b/>
                <w:szCs w:val="20"/>
              </w:rPr>
              <w:t xml:space="preserve"> (…)</w:t>
            </w:r>
          </w:p>
        </w:tc>
        <w:tc>
          <w:tcPr>
            <w:tcW w:w="9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Uss</w:t>
            </w:r>
            <w:r>
              <w:rPr>
                <w:b/>
                <w:szCs w:val="20"/>
              </w:rPr>
              <w:t xml:space="preserve"> (…)</w:t>
            </w:r>
          </w:p>
        </w:tc>
        <w:tc>
          <w:tcPr>
            <w:tcW w:w="9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Iss</w:t>
            </w:r>
            <w:r>
              <w:rPr>
                <w:b/>
                <w:szCs w:val="20"/>
              </w:rPr>
              <w:t xml:space="preserve"> (…)</w:t>
            </w:r>
          </w:p>
        </w:tc>
        <w:tc>
          <w:tcPr>
            <w:tcW w:w="9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Iss</w:t>
            </w:r>
            <w:r>
              <w:rPr>
                <w:b/>
                <w:szCs w:val="20"/>
              </w:rPr>
              <w:t>(…)</w:t>
            </w:r>
          </w:p>
        </w:tc>
        <w:tc>
          <w:tcPr>
            <w:tcW w:w="9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Lo</w:t>
            </w:r>
            <w:r>
              <w:rPr>
                <w:b/>
                <w:szCs w:val="20"/>
              </w:rPr>
              <w:t xml:space="preserve"> (…)</w:t>
            </w:r>
          </w:p>
        </w:tc>
        <w:tc>
          <w:tcPr>
            <w:tcW w:w="9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w:t>
            </w:r>
            <w:r>
              <w:rPr>
                <w:b/>
                <w:szCs w:val="20"/>
              </w:rPr>
              <w:t xml:space="preserve"> (…)</w:t>
            </w:r>
          </w:p>
        </w:tc>
        <w:tc>
          <w:tcPr>
            <w:tcW w:w="960"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R</w:t>
            </w:r>
            <w:r>
              <w:rPr>
                <w:b/>
                <w:szCs w:val="20"/>
              </w:rPr>
              <w:t xml:space="preserve"> (…)</w:t>
            </w:r>
          </w:p>
        </w:tc>
      </w:tr>
      <w:tr>
        <w:trPr>
          <w:trHeight w:val="285" w:hRule="atLeast"/>
        </w:trPr>
        <w:tc>
          <w:tcPr>
            <w:tcW w:w="96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59" w:type="dxa"/>
            <w:tcBorders>
              <w:bottom w:val="single" w:sz="12" w:space="0" w:color="000000"/>
              <w:right w:val="single" w:sz="4" w:space="0" w:color="000000"/>
            </w:tcBorders>
          </w:tcPr>
          <w:p>
            <w:pPr>
              <w:pStyle w:val="Normal"/>
              <w:spacing w:lineRule="auto" w:line="240" w:before="0" w:after="0"/>
              <w:jc w:val="center"/>
              <w:rPr/>
            </w:pPr>
            <w:r>
              <w:rPr/>
            </w:r>
          </w:p>
        </w:tc>
        <w:tc>
          <w:tcPr>
            <w:tcW w:w="961" w:type="dxa"/>
            <w:tcBorders>
              <w:bottom w:val="single" w:sz="12" w:space="0" w:color="000000"/>
              <w:right w:val="single" w:sz="4" w:space="0" w:color="000000"/>
            </w:tcBorders>
          </w:tcPr>
          <w:p>
            <w:pPr>
              <w:pStyle w:val="Normal"/>
              <w:spacing w:lineRule="auto" w:line="240" w:before="0" w:after="0"/>
              <w:jc w:val="center"/>
              <w:rPr/>
            </w:pPr>
            <w:r>
              <w:rPr/>
            </w:r>
          </w:p>
        </w:tc>
        <w:tc>
          <w:tcPr>
            <w:tcW w:w="959" w:type="dxa"/>
            <w:tcBorders>
              <w:bottom w:val="single" w:sz="12" w:space="0" w:color="000000"/>
              <w:right w:val="single" w:sz="4" w:space="0" w:color="000000"/>
            </w:tcBorders>
          </w:tcPr>
          <w:p>
            <w:pPr>
              <w:pStyle w:val="Normal"/>
              <w:spacing w:lineRule="auto" w:line="240" w:before="0" w:after="0"/>
              <w:jc w:val="center"/>
              <w:rPr/>
            </w:pPr>
            <w:r>
              <w:rPr/>
            </w:r>
          </w:p>
        </w:tc>
        <w:tc>
          <w:tcPr>
            <w:tcW w:w="961" w:type="dxa"/>
            <w:tcBorders>
              <w:bottom w:val="single" w:sz="12" w:space="0" w:color="000000"/>
              <w:right w:val="single" w:sz="4" w:space="0" w:color="000000"/>
            </w:tcBorders>
          </w:tcPr>
          <w:p>
            <w:pPr>
              <w:pStyle w:val="Normal"/>
              <w:spacing w:lineRule="auto" w:line="240" w:before="0" w:after="0"/>
              <w:jc w:val="center"/>
              <w:rPr/>
            </w:pPr>
            <w:r>
              <w:rPr/>
            </w:r>
          </w:p>
        </w:tc>
        <w:tc>
          <w:tcPr>
            <w:tcW w:w="959" w:type="dxa"/>
            <w:tcBorders>
              <w:bottom w:val="single" w:sz="12" w:space="0" w:color="000000"/>
              <w:right w:val="single" w:sz="4" w:space="0" w:color="000000"/>
            </w:tcBorders>
          </w:tcPr>
          <w:p>
            <w:pPr>
              <w:pStyle w:val="Normal"/>
              <w:spacing w:lineRule="auto" w:line="240" w:before="0" w:after="0"/>
              <w:jc w:val="center"/>
              <w:rPr/>
            </w:pPr>
            <w:r>
              <w:rPr/>
            </w:r>
          </w:p>
        </w:tc>
        <w:tc>
          <w:tcPr>
            <w:tcW w:w="960" w:type="dxa"/>
            <w:tcBorders>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Ohmova metoda - střídavá část</w:t>
      </w:r>
    </w:p>
    <w:tbl>
      <w:tblPr>
        <w:tblW w:w="912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759"/>
        <w:gridCol w:w="761"/>
        <w:gridCol w:w="760"/>
        <w:gridCol w:w="759"/>
        <w:gridCol w:w="761"/>
        <w:gridCol w:w="760"/>
        <w:gridCol w:w="759"/>
        <w:gridCol w:w="761"/>
        <w:gridCol w:w="760"/>
        <w:gridCol w:w="759"/>
        <w:gridCol w:w="762"/>
        <w:gridCol w:w="758"/>
      </w:tblGrid>
      <w:tr>
        <w:trPr>
          <w:trHeight w:val="285" w:hRule="atLeast"/>
        </w:trPr>
        <w:tc>
          <w:tcPr>
            <w:tcW w:w="9119" w:type="dxa"/>
            <w:gridSpan w:val="12"/>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impedance cívky</w:t>
            </w:r>
            <w:r>
              <w:rPr>
                <w:b/>
                <w:bCs/>
                <w:i/>
                <w:iCs/>
                <w:szCs w:val="20"/>
              </w:rPr>
              <w:t xml:space="preserve"> (následně indukčnosti cívky)</w:t>
            </w:r>
          </w:p>
        </w:tc>
      </w:tr>
      <w:tr>
        <w:trPr>
          <w:trHeight w:val="285" w:hRule="atLeast"/>
        </w:trPr>
        <w:tc>
          <w:tcPr>
            <w:tcW w:w="759"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Ustř</w:t>
            </w:r>
            <w:r>
              <w:rPr>
                <w:b/>
                <w:szCs w:val="20"/>
              </w:rPr>
              <w:t xml:space="preserve"> (…)</w:t>
            </w:r>
          </w:p>
        </w:tc>
        <w:tc>
          <w:tcPr>
            <w:tcW w:w="761" w:type="dxa"/>
            <w:tcBorders>
              <w:bottom w:val="single" w:sz="4" w:space="0" w:color="000000"/>
              <w:right w:val="single" w:sz="4" w:space="0" w:color="000000"/>
            </w:tcBorders>
          </w:tcPr>
          <w:p>
            <w:pPr>
              <w:pStyle w:val="Normal"/>
              <w:spacing w:lineRule="auto" w:line="240" w:before="0" w:after="0"/>
              <w:jc w:val="center"/>
              <w:rPr>
                <w:b/>
                <w:i/>
                <w:i/>
                <w:iCs/>
                <w:szCs w:val="20"/>
              </w:rPr>
            </w:pPr>
            <w:r>
              <w:rPr>
                <w:b/>
                <w:i/>
                <w:iCs/>
                <w:szCs w:val="20"/>
              </w:rPr>
              <w:t>δ</w:t>
            </w:r>
            <w:r>
              <w:rPr>
                <w:b/>
                <w:szCs w:val="20"/>
                <w:vertAlign w:val="subscript"/>
              </w:rPr>
              <w:t>Ustř</w:t>
            </w:r>
            <w:r>
              <w:rPr>
                <w:b/>
                <w:szCs w:val="20"/>
              </w:rPr>
              <w:t xml:space="preserve"> (…)</w:t>
            </w:r>
          </w:p>
        </w:tc>
        <w:tc>
          <w:tcPr>
            <w:tcW w:w="760"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Istř</w:t>
            </w:r>
            <w:r>
              <w:rPr>
                <w:b/>
                <w:szCs w:val="20"/>
              </w:rPr>
              <w:t>(…)</w:t>
            </w:r>
          </w:p>
        </w:tc>
        <w:tc>
          <w:tcPr>
            <w:tcW w:w="7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Istř</w:t>
            </w:r>
            <w:r>
              <w:rPr>
                <w:b/>
                <w:szCs w:val="20"/>
              </w:rPr>
              <w:t xml:space="preserve"> (…)</w:t>
            </w:r>
          </w:p>
        </w:tc>
        <w:tc>
          <w:tcPr>
            <w:tcW w:w="7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60"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|Z| (…)</w:t>
            </w:r>
          </w:p>
        </w:tc>
        <w:tc>
          <w:tcPr>
            <w:tcW w:w="7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Z</w:t>
            </w:r>
            <w:r>
              <w:rPr>
                <w:b/>
                <w:szCs w:val="20"/>
              </w:rPr>
              <w:t xml:space="preserve"> (…)</w:t>
            </w:r>
          </w:p>
        </w:tc>
        <w:tc>
          <w:tcPr>
            <w:tcW w:w="760"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Z</w:t>
            </w:r>
            <w:r>
              <w:rPr>
                <w:b/>
                <w:szCs w:val="20"/>
              </w:rPr>
              <w:t xml:space="preserve"> (…)</w:t>
            </w:r>
          </w:p>
        </w:tc>
        <w:tc>
          <w:tcPr>
            <w:tcW w:w="759"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o</w:t>
            </w:r>
            <w:r>
              <w:rPr>
                <w:b/>
                <w:szCs w:val="20"/>
              </w:rPr>
              <w:t xml:space="preserve"> (…)</w:t>
            </w:r>
          </w:p>
        </w:tc>
        <w:tc>
          <w:tcPr>
            <w:tcW w:w="762"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Lo</w:t>
            </w:r>
            <w:r>
              <w:rPr>
                <w:b/>
                <w:szCs w:val="20"/>
              </w:rPr>
              <w:t xml:space="preserve"> (…)</w:t>
            </w:r>
          </w:p>
        </w:tc>
        <w:tc>
          <w:tcPr>
            <w:tcW w:w="758"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Lo</w:t>
            </w:r>
            <w:r>
              <w:rPr>
                <w:b/>
                <w:szCs w:val="20"/>
              </w:rPr>
              <w:t xml:space="preserve"> (…)</w:t>
            </w:r>
          </w:p>
        </w:tc>
      </w:tr>
      <w:tr>
        <w:trPr>
          <w:trHeight w:val="285" w:hRule="atLeast"/>
        </w:trPr>
        <w:tc>
          <w:tcPr>
            <w:tcW w:w="759"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bottom w:val="single" w:sz="12" w:space="0" w:color="000000"/>
              <w:right w:val="single" w:sz="4" w:space="0" w:color="000000"/>
            </w:tcBorders>
          </w:tcPr>
          <w:p>
            <w:pPr>
              <w:pStyle w:val="Normal"/>
              <w:spacing w:lineRule="auto" w:line="240" w:before="0" w:after="0"/>
              <w:jc w:val="center"/>
              <w:rPr/>
            </w:pPr>
            <w:r>
              <w:rPr/>
            </w:r>
          </w:p>
        </w:tc>
        <w:tc>
          <w:tcPr>
            <w:tcW w:w="760" w:type="dxa"/>
            <w:tcBorders>
              <w:bottom w:val="single" w:sz="12" w:space="0" w:color="000000"/>
              <w:right w:val="single" w:sz="4" w:space="0" w:color="000000"/>
            </w:tcBorders>
          </w:tcPr>
          <w:p>
            <w:pPr>
              <w:pStyle w:val="Normal"/>
              <w:spacing w:lineRule="auto" w:line="240" w:before="0" w:after="0"/>
              <w:jc w:val="center"/>
              <w:rPr/>
            </w:pPr>
            <w:r>
              <w:rPr/>
            </w:r>
          </w:p>
        </w:tc>
        <w:tc>
          <w:tcPr>
            <w:tcW w:w="759" w:type="dxa"/>
            <w:tcBorders>
              <w:bottom w:val="single" w:sz="12" w:space="0" w:color="000000"/>
              <w:right w:val="single" w:sz="4" w:space="0" w:color="000000"/>
            </w:tcBorders>
          </w:tcPr>
          <w:p>
            <w:pPr>
              <w:pStyle w:val="Normal"/>
              <w:spacing w:lineRule="auto" w:line="240" w:before="0" w:after="0"/>
              <w:jc w:val="center"/>
              <w:rPr/>
            </w:pPr>
            <w:r>
              <w:rPr/>
            </w:r>
          </w:p>
        </w:tc>
        <w:tc>
          <w:tcPr>
            <w:tcW w:w="761" w:type="dxa"/>
            <w:tcBorders>
              <w:bottom w:val="single" w:sz="12" w:space="0" w:color="000000"/>
              <w:right w:val="single" w:sz="4" w:space="0" w:color="000000"/>
            </w:tcBorders>
          </w:tcPr>
          <w:p>
            <w:pPr>
              <w:pStyle w:val="Normal"/>
              <w:spacing w:lineRule="auto" w:line="240" w:before="0" w:after="0"/>
              <w:jc w:val="center"/>
              <w:rPr/>
            </w:pPr>
            <w:r>
              <w:rPr/>
            </w:r>
          </w:p>
        </w:tc>
        <w:tc>
          <w:tcPr>
            <w:tcW w:w="760" w:type="dxa"/>
            <w:tcBorders>
              <w:bottom w:val="single" w:sz="12" w:space="0" w:color="000000"/>
              <w:right w:val="single" w:sz="4" w:space="0" w:color="000000"/>
            </w:tcBorders>
          </w:tcPr>
          <w:p>
            <w:pPr>
              <w:pStyle w:val="Normal"/>
              <w:spacing w:lineRule="auto" w:line="240" w:before="0" w:after="0"/>
              <w:jc w:val="center"/>
              <w:rPr/>
            </w:pPr>
            <w:r>
              <w:rPr/>
            </w:r>
          </w:p>
        </w:tc>
        <w:tc>
          <w:tcPr>
            <w:tcW w:w="759" w:type="dxa"/>
            <w:tcBorders>
              <w:bottom w:val="single" w:sz="12" w:space="0" w:color="000000"/>
              <w:right w:val="single" w:sz="4" w:space="0" w:color="000000"/>
            </w:tcBorders>
          </w:tcPr>
          <w:p>
            <w:pPr>
              <w:pStyle w:val="Normal"/>
              <w:spacing w:lineRule="auto" w:line="240" w:before="0" w:after="0"/>
              <w:jc w:val="center"/>
              <w:rPr/>
            </w:pPr>
            <w:r>
              <w:rPr/>
            </w:r>
          </w:p>
        </w:tc>
        <w:tc>
          <w:tcPr>
            <w:tcW w:w="761" w:type="dxa"/>
            <w:tcBorders>
              <w:bottom w:val="single" w:sz="12" w:space="0" w:color="000000"/>
              <w:right w:val="single" w:sz="4" w:space="0" w:color="000000"/>
            </w:tcBorders>
          </w:tcPr>
          <w:p>
            <w:pPr>
              <w:pStyle w:val="Normal"/>
              <w:spacing w:lineRule="auto" w:line="240" w:before="0" w:after="0"/>
              <w:jc w:val="center"/>
              <w:rPr/>
            </w:pPr>
            <w:r>
              <w:rPr/>
            </w:r>
          </w:p>
        </w:tc>
        <w:tc>
          <w:tcPr>
            <w:tcW w:w="760" w:type="dxa"/>
            <w:tcBorders>
              <w:bottom w:val="single" w:sz="12" w:space="0" w:color="000000"/>
              <w:right w:val="single" w:sz="4" w:space="0" w:color="000000"/>
            </w:tcBorders>
          </w:tcPr>
          <w:p>
            <w:pPr>
              <w:pStyle w:val="Normal"/>
              <w:spacing w:lineRule="auto" w:line="240" w:before="0" w:after="0"/>
              <w:jc w:val="center"/>
              <w:rPr/>
            </w:pPr>
            <w:r>
              <w:rPr/>
            </w:r>
          </w:p>
        </w:tc>
        <w:tc>
          <w:tcPr>
            <w:tcW w:w="759" w:type="dxa"/>
            <w:tcBorders>
              <w:bottom w:val="single" w:sz="12" w:space="0" w:color="000000"/>
              <w:right w:val="single" w:sz="4" w:space="0" w:color="000000"/>
            </w:tcBorders>
          </w:tcPr>
          <w:p>
            <w:pPr>
              <w:pStyle w:val="Normal"/>
              <w:spacing w:lineRule="auto" w:line="240" w:before="0" w:after="0"/>
              <w:jc w:val="center"/>
              <w:rPr/>
            </w:pPr>
            <w:r>
              <w:rPr/>
            </w:r>
          </w:p>
        </w:tc>
        <w:tc>
          <w:tcPr>
            <w:tcW w:w="762" w:type="dxa"/>
            <w:tcBorders>
              <w:bottom w:val="single" w:sz="12" w:space="0" w:color="000000"/>
              <w:right w:val="single" w:sz="4" w:space="0" w:color="000000"/>
            </w:tcBorders>
          </w:tcPr>
          <w:p>
            <w:pPr>
              <w:pStyle w:val="Normal"/>
              <w:spacing w:lineRule="auto" w:line="240" w:before="0" w:after="0"/>
              <w:jc w:val="center"/>
              <w:rPr/>
            </w:pPr>
            <w:r>
              <w:rPr/>
            </w:r>
          </w:p>
        </w:tc>
        <w:tc>
          <w:tcPr>
            <w:tcW w:w="758" w:type="dxa"/>
            <w:tcBorders>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Rezonanční metoda</w:t>
      </w:r>
    </w:p>
    <w:tbl>
      <w:tblPr>
        <w:tblW w:w="912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759"/>
        <w:gridCol w:w="761"/>
        <w:gridCol w:w="760"/>
        <w:gridCol w:w="759"/>
        <w:gridCol w:w="761"/>
        <w:gridCol w:w="760"/>
        <w:gridCol w:w="759"/>
        <w:gridCol w:w="761"/>
        <w:gridCol w:w="760"/>
        <w:gridCol w:w="759"/>
        <w:gridCol w:w="762"/>
        <w:gridCol w:w="758"/>
      </w:tblGrid>
      <w:tr>
        <w:trPr>
          <w:trHeight w:val="285" w:hRule="atLeast"/>
        </w:trPr>
        <w:tc>
          <w:tcPr>
            <w:tcW w:w="759"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U</w:t>
            </w:r>
            <w:r>
              <w:rPr>
                <w:b/>
                <w:szCs w:val="20"/>
              </w:rPr>
              <w:t xml:space="preserve"> (…)</w:t>
            </w:r>
          </w:p>
        </w:tc>
        <w:tc>
          <w:tcPr>
            <w:tcW w:w="7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i/>
                <w:i/>
                <w:iCs/>
                <w:szCs w:val="20"/>
              </w:rPr>
            </w:pPr>
            <w:r>
              <w:rPr>
                <w:b/>
                <w:i/>
                <w:iCs/>
                <w:szCs w:val="20"/>
              </w:rPr>
              <w:t>δ</w:t>
            </w:r>
            <w:r>
              <w:rPr>
                <w:b/>
                <w:szCs w:val="20"/>
                <w:vertAlign w:val="subscript"/>
              </w:rPr>
              <w:t>U</w:t>
            </w:r>
            <w:r>
              <w:rPr>
                <w:b/>
                <w:szCs w:val="20"/>
              </w:rPr>
              <w:t xml:space="preserve"> (…)</w:t>
            </w:r>
          </w:p>
        </w:tc>
        <w:tc>
          <w:tcPr>
            <w:tcW w:w="7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Ir</w:t>
            </w:r>
            <w:r>
              <w:rPr>
                <w:b/>
                <w:szCs w:val="20"/>
              </w:rPr>
              <w:t>(…)</w:t>
            </w:r>
          </w:p>
        </w:tc>
        <w:tc>
          <w:tcPr>
            <w:tcW w:w="75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Ir</w:t>
            </w:r>
            <w:r>
              <w:rPr>
                <w:b/>
                <w:szCs w:val="20"/>
              </w:rPr>
              <w:t xml:space="preserve"> (…)</w:t>
            </w:r>
          </w:p>
        </w:tc>
        <w:tc>
          <w:tcPr>
            <w:tcW w:w="7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f</w:t>
            </w:r>
            <w:r>
              <w:rPr>
                <w:b/>
                <w:szCs w:val="20"/>
              </w:rPr>
              <w:t xml:space="preserve"> (…)</w:t>
            </w:r>
          </w:p>
        </w:tc>
        <w:tc>
          <w:tcPr>
            <w:tcW w:w="75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Lr</w:t>
            </w:r>
            <w:r>
              <w:rPr>
                <w:b/>
                <w:szCs w:val="20"/>
              </w:rPr>
              <w:t xml:space="preserve"> (…)</w:t>
            </w:r>
          </w:p>
        </w:tc>
        <w:tc>
          <w:tcPr>
            <w:tcW w:w="7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7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759"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r</w:t>
            </w:r>
            <w:r>
              <w:rPr>
                <w:b/>
                <w:szCs w:val="20"/>
              </w:rPr>
              <w:t xml:space="preserve"> (…)</w:t>
            </w:r>
          </w:p>
        </w:tc>
        <w:tc>
          <w:tcPr>
            <w:tcW w:w="762"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Lr</w:t>
            </w:r>
            <w:r>
              <w:rPr>
                <w:b/>
                <w:szCs w:val="20"/>
              </w:rPr>
              <w:t xml:space="preserve"> (…)</w:t>
            </w:r>
          </w:p>
        </w:tc>
        <w:tc>
          <w:tcPr>
            <w:tcW w:w="758"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Lr</w:t>
            </w:r>
            <w:r>
              <w:rPr>
                <w:b/>
                <w:szCs w:val="20"/>
              </w:rPr>
              <w:t xml:space="preserve"> (…)</w:t>
            </w:r>
          </w:p>
        </w:tc>
      </w:tr>
      <w:tr>
        <w:trPr>
          <w:trHeight w:val="285" w:hRule="atLeast"/>
        </w:trPr>
        <w:tc>
          <w:tcPr>
            <w:tcW w:w="759"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9"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62"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758"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Normal"/>
        <w:rPr/>
      </w:pPr>
      <w:r>
        <w:rPr/>
        <w:t>Kapacita kondenzátoru použitého při aplikaci rezonanční metody: …………………………………………………</w:t>
      </w:r>
    </w:p>
    <w:p>
      <w:pPr>
        <w:pStyle w:val="Normal"/>
        <w:rPr/>
      </w:pPr>
      <w:r>
        <w:rPr/>
        <w:t>Tolerance kondenzátoru použitého při aplikaci rezonanční metody: ………………………………………………</w:t>
      </w:r>
    </w:p>
    <w:p>
      <w:pPr>
        <w:pStyle w:val="Normal"/>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Srovnání činitelů jakosti</w:t>
      </w:r>
    </w:p>
    <w:tbl>
      <w:tblPr>
        <w:tblW w:w="272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360"/>
        <w:gridCol w:w="1359"/>
      </w:tblGrid>
      <w:tr>
        <w:trPr>
          <w:trHeight w:val="285" w:hRule="atLeast"/>
        </w:trPr>
        <w:tc>
          <w:tcPr>
            <w:tcW w:w="13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Q</w:t>
            </w:r>
            <w:r>
              <w:rPr>
                <w:b/>
                <w:szCs w:val="20"/>
                <w:vertAlign w:val="subscript"/>
              </w:rPr>
              <w:t>N</w:t>
            </w:r>
            <w:r>
              <w:rPr>
                <w:b/>
                <w:szCs w:val="20"/>
              </w:rPr>
              <w:t xml:space="preserve"> (…)</w:t>
            </w:r>
          </w:p>
        </w:tc>
        <w:tc>
          <w:tcPr>
            <w:tcW w:w="13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szCs w:val="20"/>
              </w:rPr>
              <w:t>Q</w:t>
            </w:r>
            <w:r>
              <w:rPr>
                <w:b/>
                <w:szCs w:val="20"/>
                <w:vertAlign w:val="subscript"/>
              </w:rPr>
              <w:t>V</w:t>
            </w:r>
            <w:r>
              <w:rPr>
                <w:b/>
                <w:szCs w:val="20"/>
              </w:rPr>
              <w:t xml:space="preserve"> (…)</w:t>
            </w:r>
          </w:p>
        </w:tc>
      </w:tr>
      <w:tr>
        <w:trPr>
          <w:trHeight w:val="285" w:hRule="atLeast"/>
        </w:trPr>
        <w:tc>
          <w:tcPr>
            <w:tcW w:w="13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3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Srovnání přesnosti metod</w:t>
      </w:r>
    </w:p>
    <w:tbl>
      <w:tblPr>
        <w:tblW w:w="6487"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083"/>
        <w:gridCol w:w="894"/>
        <w:gridCol w:w="1075"/>
        <w:gridCol w:w="1075"/>
        <w:gridCol w:w="1061"/>
        <w:gridCol w:w="1298"/>
      </w:tblGrid>
      <w:tr>
        <w:trPr>
          <w:trHeight w:val="285" w:hRule="atLeast"/>
        </w:trPr>
        <w:tc>
          <w:tcPr>
            <w:tcW w:w="6486" w:type="dxa"/>
            <w:gridSpan w:val="6"/>
            <w:tcBorders>
              <w:top w:val="single" w:sz="18" w:space="0" w:color="000000"/>
              <w:left w:val="single" w:sz="12" w:space="0" w:color="000000"/>
              <w:bottom w:val="single" w:sz="4" w:space="0" w:color="000000"/>
              <w:right w:val="single" w:sz="12" w:space="0" w:color="000000"/>
            </w:tcBorders>
          </w:tcPr>
          <w:p>
            <w:pPr>
              <w:pStyle w:val="Normal"/>
              <w:spacing w:lineRule="auto" w:line="240" w:before="0" w:after="0"/>
              <w:jc w:val="center"/>
              <w:rPr>
                <w:i/>
                <w:i/>
                <w:iCs/>
                <w:szCs w:val="20"/>
              </w:rPr>
            </w:pPr>
            <w:r>
              <w:rPr>
                <w:i/>
                <w:iCs/>
                <w:szCs w:val="20"/>
              </w:rPr>
              <w:t>Ohmova metoda</w:t>
            </w:r>
          </w:p>
        </w:tc>
      </w:tr>
      <w:tr>
        <w:trPr>
          <w:trHeight w:val="285" w:hRule="atLeast"/>
        </w:trPr>
        <w:tc>
          <w:tcPr>
            <w:tcW w:w="1083"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Lo</w:t>
            </w:r>
            <w:r>
              <w:rPr>
                <w:b/>
                <w:szCs w:val="20"/>
              </w:rPr>
              <w:t xml:space="preserve"> (…)</w:t>
            </w:r>
          </w:p>
        </w:tc>
        <w:tc>
          <w:tcPr>
            <w:tcW w:w="894"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o</w:t>
            </w:r>
            <w:r>
              <w:rPr>
                <w:b/>
                <w:szCs w:val="20"/>
              </w:rPr>
              <w:t xml:space="preserve"> (…)</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Rohm</w:t>
            </w:r>
            <w:r>
              <w:rPr>
                <w:b/>
                <w:szCs w:val="20"/>
              </w:rPr>
              <w:t xml:space="preserve"> (…)</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Rohm</w:t>
            </w:r>
            <w:r>
              <w:rPr>
                <w:b/>
                <w:szCs w:val="20"/>
              </w:rPr>
              <w:t xml:space="preserve"> (…)</w:t>
            </w:r>
          </w:p>
        </w:tc>
        <w:tc>
          <w:tcPr>
            <w:tcW w:w="10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Lohm</w:t>
            </w:r>
            <w:r>
              <w:rPr>
                <w:b/>
                <w:szCs w:val="20"/>
              </w:rPr>
              <w:t xml:space="preserve"> (…)</w:t>
            </w:r>
          </w:p>
        </w:tc>
        <w:tc>
          <w:tcPr>
            <w:tcW w:w="1298"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Lohm</w:t>
            </w:r>
            <w:r>
              <w:rPr>
                <w:b/>
                <w:szCs w:val="20"/>
              </w:rPr>
              <w:t xml:space="preserve"> (…)</w:t>
            </w:r>
          </w:p>
        </w:tc>
      </w:tr>
      <w:tr>
        <w:trPr>
          <w:trHeight w:val="345" w:hRule="atLeast"/>
        </w:trPr>
        <w:tc>
          <w:tcPr>
            <w:tcW w:w="1083"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894" w:type="dxa"/>
            <w:tcBorders>
              <w:bottom w:val="single" w:sz="12" w:space="0" w:color="000000"/>
              <w:right w:val="single" w:sz="4" w:space="0" w:color="000000"/>
            </w:tcBorders>
          </w:tcPr>
          <w:p>
            <w:pPr>
              <w:pStyle w:val="Normal"/>
              <w:spacing w:lineRule="auto" w:line="240" w:before="0" w:after="0"/>
              <w:jc w:val="center"/>
              <w:rPr/>
            </w:pPr>
            <w:r>
              <w:rPr/>
            </w:r>
          </w:p>
        </w:tc>
        <w:tc>
          <w:tcPr>
            <w:tcW w:w="1075" w:type="dxa"/>
            <w:tcBorders>
              <w:bottom w:val="single" w:sz="12" w:space="0" w:color="000000"/>
              <w:right w:val="single" w:sz="4" w:space="0" w:color="000000"/>
            </w:tcBorders>
          </w:tcPr>
          <w:p>
            <w:pPr>
              <w:pStyle w:val="Normal"/>
              <w:spacing w:lineRule="auto" w:line="240" w:before="0" w:after="0"/>
              <w:jc w:val="center"/>
              <w:rPr/>
            </w:pPr>
            <w:r>
              <w:rPr/>
            </w:r>
          </w:p>
        </w:tc>
        <w:tc>
          <w:tcPr>
            <w:tcW w:w="1075" w:type="dxa"/>
            <w:tcBorders>
              <w:bottom w:val="single" w:sz="12" w:space="0" w:color="000000"/>
              <w:right w:val="single" w:sz="4" w:space="0" w:color="000000"/>
            </w:tcBorders>
          </w:tcPr>
          <w:p>
            <w:pPr>
              <w:pStyle w:val="Normal"/>
              <w:spacing w:lineRule="auto" w:line="240" w:before="0" w:after="0"/>
              <w:jc w:val="center"/>
              <w:rPr/>
            </w:pPr>
            <w:r>
              <w:rPr/>
            </w:r>
          </w:p>
        </w:tc>
        <w:tc>
          <w:tcPr>
            <w:tcW w:w="1061" w:type="dxa"/>
            <w:tcBorders>
              <w:bottom w:val="single" w:sz="12" w:space="0" w:color="000000"/>
              <w:right w:val="single" w:sz="4" w:space="0" w:color="000000"/>
            </w:tcBorders>
          </w:tcPr>
          <w:p>
            <w:pPr>
              <w:pStyle w:val="Normal"/>
              <w:spacing w:lineRule="auto" w:line="240" w:before="0" w:after="0"/>
              <w:jc w:val="center"/>
              <w:rPr/>
            </w:pPr>
            <w:r>
              <w:rPr/>
            </w:r>
          </w:p>
        </w:tc>
        <w:tc>
          <w:tcPr>
            <w:tcW w:w="1298" w:type="dxa"/>
            <w:tcBorders>
              <w:bottom w:val="single" w:sz="12" w:space="0" w:color="000000"/>
              <w:right w:val="single" w:sz="12" w:space="0" w:color="000000"/>
            </w:tcBorders>
          </w:tcPr>
          <w:p>
            <w:pPr>
              <w:pStyle w:val="Normal"/>
              <w:spacing w:lineRule="auto" w:line="240" w:before="0" w:after="0"/>
              <w:jc w:val="center"/>
              <w:rPr/>
            </w:pPr>
            <w:r>
              <w:rPr/>
            </w:r>
          </w:p>
        </w:tc>
      </w:tr>
      <w:tr>
        <w:trPr>
          <w:trHeight w:val="270" w:hRule="atLeast"/>
        </w:trPr>
        <w:tc>
          <w:tcPr>
            <w:tcW w:w="6486" w:type="dxa"/>
            <w:gridSpan w:val="6"/>
            <w:tcBorders>
              <w:top w:val="single" w:sz="4" w:space="0" w:color="000000"/>
              <w:left w:val="single" w:sz="12" w:space="0" w:color="000000"/>
              <w:bottom w:val="single" w:sz="4" w:space="0" w:color="000000"/>
              <w:right w:val="single" w:sz="12" w:space="0" w:color="000000"/>
            </w:tcBorders>
          </w:tcPr>
          <w:p>
            <w:pPr>
              <w:pStyle w:val="Normal"/>
              <w:spacing w:lineRule="auto" w:line="240" w:before="0" w:after="0"/>
              <w:jc w:val="center"/>
              <w:rPr>
                <w:i/>
                <w:i/>
                <w:iCs/>
                <w:szCs w:val="20"/>
              </w:rPr>
            </w:pPr>
            <w:r>
              <w:rPr>
                <w:i/>
                <w:iCs/>
                <w:szCs w:val="20"/>
              </w:rPr>
              <w:t>Rezonanční metoda</w:t>
            </w:r>
          </w:p>
        </w:tc>
      </w:tr>
      <w:tr>
        <w:trPr>
          <w:trHeight w:val="285" w:hRule="atLeast"/>
        </w:trPr>
        <w:tc>
          <w:tcPr>
            <w:tcW w:w="1083"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szCs w:val="20"/>
              </w:rPr>
              <w:t>R</w:t>
            </w:r>
            <w:r>
              <w:rPr>
                <w:b/>
                <w:szCs w:val="20"/>
                <w:vertAlign w:val="subscript"/>
              </w:rPr>
              <w:t>Lr</w:t>
            </w:r>
            <w:r>
              <w:rPr>
                <w:b/>
                <w:szCs w:val="20"/>
              </w:rPr>
              <w:t xml:space="preserve"> (…)</w:t>
            </w:r>
          </w:p>
        </w:tc>
        <w:tc>
          <w:tcPr>
            <w:tcW w:w="894"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L</w:t>
            </w:r>
            <w:r>
              <w:rPr>
                <w:b/>
                <w:szCs w:val="20"/>
                <w:vertAlign w:val="subscript"/>
              </w:rPr>
              <w:t>r</w:t>
            </w:r>
            <w:r>
              <w:rPr>
                <w:b/>
                <w:szCs w:val="20"/>
              </w:rPr>
              <w:t xml:space="preserve"> (…)</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1075"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RLr</w:t>
            </w:r>
            <w:r>
              <w:rPr>
                <w:b/>
                <w:szCs w:val="20"/>
              </w:rPr>
              <w:t xml:space="preserve"> (…)</w:t>
            </w:r>
          </w:p>
        </w:tc>
        <w:tc>
          <w:tcPr>
            <w:tcW w:w="1061" w:type="dxa"/>
            <w:tcBorders>
              <w:bottom w:val="single" w:sz="4" w:space="0" w:color="000000"/>
              <w:right w:val="single" w:sz="4" w:space="0" w:color="000000"/>
            </w:tcBorders>
          </w:tcPr>
          <w:p>
            <w:pPr>
              <w:pStyle w:val="Normal"/>
              <w:spacing w:lineRule="auto" w:line="240" w:before="0" w:after="0"/>
              <w:jc w:val="center"/>
              <w:rPr>
                <w:b/>
                <w:szCs w:val="20"/>
              </w:rPr>
            </w:pPr>
            <w:r>
              <w:rPr>
                <w:b/>
                <w:szCs w:val="20"/>
              </w:rPr>
              <w:t>Δ</w:t>
            </w:r>
            <w:r>
              <w:rPr>
                <w:b/>
                <w:szCs w:val="20"/>
                <w:vertAlign w:val="subscript"/>
              </w:rPr>
              <w:t xml:space="preserve">Lr </w:t>
            </w:r>
            <w:r>
              <w:rPr>
                <w:b/>
                <w:szCs w:val="20"/>
              </w:rPr>
              <w:t xml:space="preserve"> (…)</w:t>
            </w:r>
          </w:p>
        </w:tc>
        <w:tc>
          <w:tcPr>
            <w:tcW w:w="1298" w:type="dxa"/>
            <w:tcBorders>
              <w:bottom w:val="single" w:sz="4" w:space="0" w:color="000000"/>
              <w:right w:val="single" w:sz="12" w:space="0" w:color="000000"/>
            </w:tcBorders>
          </w:tcPr>
          <w:p>
            <w:pPr>
              <w:pStyle w:val="Normal"/>
              <w:spacing w:lineRule="auto" w:line="240" w:before="0" w:after="0"/>
              <w:jc w:val="center"/>
              <w:rPr>
                <w:b/>
                <w:szCs w:val="20"/>
              </w:rPr>
            </w:pPr>
            <w:r>
              <w:rPr>
                <w:b/>
                <w:szCs w:val="20"/>
              </w:rPr>
              <w:t>δ</w:t>
            </w:r>
            <w:r>
              <w:rPr>
                <w:b/>
                <w:szCs w:val="20"/>
                <w:vertAlign w:val="subscript"/>
              </w:rPr>
              <w:t>Lr</w:t>
            </w:r>
            <w:r>
              <w:rPr>
                <w:b/>
                <w:szCs w:val="20"/>
              </w:rPr>
              <w:t xml:space="preserve"> (…)</w:t>
            </w:r>
          </w:p>
        </w:tc>
      </w:tr>
      <w:tr>
        <w:trPr>
          <w:trHeight w:val="330" w:hRule="atLeast"/>
        </w:trPr>
        <w:tc>
          <w:tcPr>
            <w:tcW w:w="1083"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894" w:type="dxa"/>
            <w:tcBorders>
              <w:bottom w:val="single" w:sz="12" w:space="0" w:color="000000"/>
              <w:right w:val="single" w:sz="4" w:space="0" w:color="000000"/>
            </w:tcBorders>
          </w:tcPr>
          <w:p>
            <w:pPr>
              <w:pStyle w:val="Normal"/>
              <w:spacing w:lineRule="auto" w:line="240" w:before="0" w:after="0"/>
              <w:jc w:val="center"/>
              <w:rPr/>
            </w:pPr>
            <w:r>
              <w:rPr/>
            </w:r>
          </w:p>
        </w:tc>
        <w:tc>
          <w:tcPr>
            <w:tcW w:w="1075" w:type="dxa"/>
            <w:tcBorders>
              <w:bottom w:val="single" w:sz="12" w:space="0" w:color="000000"/>
              <w:right w:val="single" w:sz="4" w:space="0" w:color="000000"/>
            </w:tcBorders>
          </w:tcPr>
          <w:p>
            <w:pPr>
              <w:pStyle w:val="Normal"/>
              <w:spacing w:lineRule="auto" w:line="240" w:before="0" w:after="0"/>
              <w:jc w:val="center"/>
              <w:rPr/>
            </w:pPr>
            <w:r>
              <w:rPr/>
            </w:r>
          </w:p>
        </w:tc>
        <w:tc>
          <w:tcPr>
            <w:tcW w:w="1075" w:type="dxa"/>
            <w:tcBorders>
              <w:bottom w:val="single" w:sz="12" w:space="0" w:color="000000"/>
              <w:right w:val="single" w:sz="4" w:space="0" w:color="000000"/>
            </w:tcBorders>
          </w:tcPr>
          <w:p>
            <w:pPr>
              <w:pStyle w:val="Normal"/>
              <w:spacing w:lineRule="auto" w:line="240" w:before="0" w:after="0"/>
              <w:jc w:val="center"/>
              <w:rPr/>
            </w:pPr>
            <w:r>
              <w:rPr/>
            </w:r>
          </w:p>
        </w:tc>
        <w:tc>
          <w:tcPr>
            <w:tcW w:w="1061" w:type="dxa"/>
            <w:tcBorders>
              <w:bottom w:val="single" w:sz="12" w:space="0" w:color="000000"/>
              <w:right w:val="single" w:sz="4" w:space="0" w:color="000000"/>
            </w:tcBorders>
          </w:tcPr>
          <w:p>
            <w:pPr>
              <w:pStyle w:val="Normal"/>
              <w:spacing w:lineRule="auto" w:line="240" w:before="0" w:after="0"/>
              <w:jc w:val="center"/>
              <w:rPr/>
            </w:pPr>
            <w:r>
              <w:rPr/>
            </w:r>
          </w:p>
        </w:tc>
        <w:tc>
          <w:tcPr>
            <w:tcW w:w="1298" w:type="dxa"/>
            <w:tcBorders>
              <w:bottom w:val="single" w:sz="12" w:space="0" w:color="000000"/>
              <w:right w:val="single" w:sz="12" w:space="0" w:color="000000"/>
            </w:tcBorders>
          </w:tcPr>
          <w:p>
            <w:pPr>
              <w:pStyle w:val="Normal"/>
              <w:spacing w:lineRule="auto" w:line="240" w:before="0" w:after="0"/>
              <w:jc w:val="center"/>
              <w:rPr/>
            </w:pPr>
            <w:r>
              <w:rPr/>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4315460" cy="2686050"/>
            <wp:effectExtent l="0" t="0" r="0" b="0"/>
            <wp:docPr id="5" name="Obrázek 0" descr="volne_pole_fazo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0" descr="volne_pole_fazor_diagram.png"/>
                    <pic:cNvPicPr>
                      <a:picLocks noChangeAspect="1" noChangeArrowheads="1"/>
                    </pic:cNvPicPr>
                  </pic:nvPicPr>
                  <pic:blipFill>
                    <a:blip r:embed="rId6"/>
                    <a:stretch>
                      <a:fillRect/>
                    </a:stretch>
                  </pic:blipFill>
                  <pic:spPr bwMode="auto">
                    <a:xfrm>
                      <a:off x="0" y="0"/>
                      <a:ext cx="4315460" cy="26860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Fázorový diagram (načrtněte pro aplikaci Ohmovy metody)</w:t>
      </w:r>
    </w:p>
    <w:p>
      <w:pPr>
        <w:pStyle w:val="Normal"/>
        <w:jc w:val="center"/>
        <w:rPr/>
      </w:pPr>
      <w:r>
        <w:rPr/>
      </w:r>
    </w:p>
    <w:p>
      <w:pPr>
        <w:pStyle w:val="Normal"/>
        <w:keepNext w:val="true"/>
        <w:jc w:val="center"/>
        <w:rPr/>
      </w:pPr>
      <w:r>
        <w:rPr/>
        <w:drawing>
          <wp:inline distT="0" distB="0" distL="0" distR="0">
            <wp:extent cx="4315460" cy="2686050"/>
            <wp:effectExtent l="0" t="0" r="0" b="0"/>
            <wp:docPr id="6" name="Obrázek 1" descr="volne_pole_fazo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 descr="volne_pole_fazor_diagram.png"/>
                    <pic:cNvPicPr>
                      <a:picLocks noChangeAspect="1" noChangeArrowheads="1"/>
                    </pic:cNvPicPr>
                  </pic:nvPicPr>
                  <pic:blipFill>
                    <a:blip r:embed="rId7"/>
                    <a:stretch>
                      <a:fillRect/>
                    </a:stretch>
                  </pic:blipFill>
                  <pic:spPr bwMode="auto">
                    <a:xfrm>
                      <a:off x="0" y="0"/>
                      <a:ext cx="4315460" cy="26860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Fázorový diagram (načrtněte pro aplikaci rezonanční metody)</w:t>
      </w:r>
    </w:p>
    <w:p>
      <w:pPr>
        <w:pStyle w:val="Normal"/>
        <w:rPr/>
      </w:pPr>
      <w:r>
        <w:rPr/>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Normal"/>
        <w:rPr/>
      </w:pPr>
      <w:r>
        <w:rPr/>
      </w:r>
    </w:p>
    <w:p>
      <w:pPr>
        <w:pStyle w:val="Heading2"/>
        <w:rPr/>
      </w:pPr>
      <w:r>
        <w:rPr/>
        <w:t>Závěr</w:t>
      </w:r>
    </w:p>
    <w:p>
      <w:pPr>
        <w:pStyle w:val="Normal"/>
        <w:rPr/>
      </w:pPr>
      <w:r>
        <w:rPr/>
        <w:t>……………………………………………………………………………………………………………………………………………………………………………………………………………………………………………………………………………………………………………………………………………………………………………………………………………………………………………………………………………………………………………………………………………………………………………………………………………………………………………………………………………………………………………………………………………………………………………………………………………………………………………………………………………………………………………………………………………………………………………………………………………………………………………………………………………………………………………………………………………………………………………………………………………………………………………………………………………………………………………………………………………………………………………………………………………………………………………………………………………………………………………………………………………………………………………………………………………………………………</w:t>
      </w:r>
    </w:p>
    <w:p>
      <w:pPr>
        <w:pStyle w:val="Normal"/>
        <w:rPr/>
      </w:pPr>
      <w:r>
        <w:rPr/>
      </w:r>
    </w:p>
    <w:p>
      <w:pPr>
        <w:pStyle w:val="Normal"/>
        <w:rPr/>
      </w:pPr>
      <w:r>
        <w:rPr/>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p>
      <w:pPr>
        <w:pStyle w:val="Normal"/>
        <w:rPr/>
      </w:pPr>
      <w:r>
        <w:rPr/>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4"/>
        <w:gridCol w:w="6837"/>
      </w:tblGrid>
      <w:tr>
        <w:trPr>
          <w:trHeight w:val="529" w:hRule="atLeast"/>
        </w:trPr>
        <w:tc>
          <w:tcPr>
            <w:tcW w:w="2374"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7"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4"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7"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4"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7"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821052693</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cívka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ampérmetr</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t>K můstkové metodě měření indukčností:</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before="0" w:after="0"/>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t>Měření parametrů vzduchové cívky</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Aplikace Ohmovy metody - stejnosměrná část</w:t>
      </w:r>
    </w:p>
    <w:tbl>
      <w:tblPr>
        <w:tblW w:w="76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920"/>
        <w:gridCol w:w="1920"/>
        <w:gridCol w:w="3840"/>
      </w:tblGrid>
      <w:tr>
        <w:trPr>
          <w:trHeight w:val="285" w:hRule="atLeast"/>
        </w:trPr>
        <w:tc>
          <w:tcPr>
            <w:tcW w:w="3840" w:type="dxa"/>
            <w:gridSpan w:val="2"/>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ztrátového odporu R</w:t>
            </w:r>
            <w:r>
              <w:rPr>
                <w:b/>
                <w:bCs/>
                <w:szCs w:val="20"/>
                <w:vertAlign w:val="subscript"/>
              </w:rPr>
              <w:t>Lo</w:t>
            </w:r>
          </w:p>
        </w:tc>
        <w:tc>
          <w:tcPr>
            <w:tcW w:w="3840" w:type="dxa"/>
            <w:tcBorders>
              <w:top w:val="single" w:sz="12" w:space="0" w:color="000000"/>
              <w:left w:val="single" w:sz="12" w:space="0" w:color="000000"/>
              <w:bottom w:val="single" w:sz="4" w:space="0" w:color="000000"/>
              <w:right w:val="single" w:sz="12" w:space="0" w:color="000000"/>
            </w:tcBorders>
            <w:tcMar>
              <w:top w:w="0" w:type="dxa"/>
            </w:tcMar>
          </w:tcPr>
          <w:p>
            <w:pPr>
              <w:pStyle w:val="Normal"/>
              <w:spacing w:lineRule="auto" w:line="240" w:before="0" w:after="0"/>
              <w:jc w:val="center"/>
              <w:rPr>
                <w:b/>
                <w:bCs/>
                <w:szCs w:val="20"/>
              </w:rPr>
            </w:pPr>
            <w:r>
              <w:rPr>
                <w:b/>
                <w:bCs/>
                <w:szCs w:val="20"/>
              </w:rPr>
              <w:t>Typy měřidel a rozsahy</w:t>
            </w:r>
          </w:p>
        </w:tc>
      </w:tr>
      <w:tr>
        <w:trPr>
          <w:trHeight w:val="285" w:hRule="atLeast"/>
        </w:trPr>
        <w:tc>
          <w:tcPr>
            <w:tcW w:w="1920" w:type="dxa"/>
            <w:tcBorders>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SS</w:t>
            </w:r>
            <w:r>
              <w:rPr>
                <w:b/>
                <w:szCs w:val="20"/>
              </w:rPr>
              <w:t xml:space="preserve"> (V)</w:t>
            </w:r>
          </w:p>
        </w:tc>
        <w:tc>
          <w:tcPr>
            <w:tcW w:w="1920" w:type="dxa"/>
            <w:tcBorders>
              <w:bottom w:val="single" w:sz="4" w:space="0" w:color="000000"/>
              <w:right w:val="single" w:sz="12" w:space="0" w:color="000000"/>
            </w:tcBorders>
          </w:tcPr>
          <w:p>
            <w:pPr>
              <w:pStyle w:val="Normal"/>
              <w:spacing w:lineRule="auto" w:line="240" w:before="0" w:after="0"/>
              <w:jc w:val="center"/>
              <w:rPr>
                <w:b/>
                <w:szCs w:val="20"/>
              </w:rPr>
            </w:pPr>
            <w:r>
              <w:rPr>
                <w:b/>
                <w:i/>
                <w:iCs/>
                <w:szCs w:val="20"/>
              </w:rPr>
              <w:t>I</w:t>
            </w:r>
            <w:r>
              <w:rPr>
                <w:b/>
                <w:szCs w:val="20"/>
                <w:vertAlign w:val="subscript"/>
              </w:rPr>
              <w:t>SS</w:t>
            </w:r>
            <w:r>
              <w:rPr>
                <w:b/>
                <w:szCs w:val="20"/>
              </w:rPr>
              <w:t xml:space="preserve"> (mA)</w:t>
            </w:r>
          </w:p>
        </w:tc>
        <w:tc>
          <w:tcPr>
            <w:tcW w:w="3840" w:type="dxa"/>
            <w:tcBorders>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i/>
                <w:iCs/>
                <w:szCs w:val="20"/>
              </w:rPr>
            </w:r>
          </w:p>
        </w:tc>
      </w:tr>
      <w:tr>
        <w:trPr>
          <w:trHeight w:val="285" w:hRule="atLeast"/>
        </w:trPr>
        <w:tc>
          <w:tcPr>
            <w:tcW w:w="192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920" w:type="dxa"/>
            <w:tcBorders>
              <w:bottom w:val="single" w:sz="12" w:space="0" w:color="000000"/>
              <w:right w:val="single" w:sz="12" w:space="0" w:color="000000"/>
            </w:tcBorders>
          </w:tcPr>
          <w:p>
            <w:pPr>
              <w:pStyle w:val="Normal"/>
              <w:spacing w:lineRule="auto" w:line="240" w:before="0" w:after="0"/>
              <w:jc w:val="center"/>
              <w:rPr/>
            </w:pPr>
            <w:r>
              <w:rPr/>
            </w:r>
          </w:p>
        </w:tc>
        <w:tc>
          <w:tcPr>
            <w:tcW w:w="3840" w:type="dxa"/>
            <w:tcBorders>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Aplikace Ohmovy metody - střídavá část</w:t>
      </w:r>
    </w:p>
    <w:tbl>
      <w:tblPr>
        <w:tblW w:w="78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300"/>
        <w:gridCol w:w="1298"/>
        <w:gridCol w:w="1302"/>
        <w:gridCol w:w="3899"/>
      </w:tblGrid>
      <w:tr>
        <w:trPr>
          <w:trHeight w:val="285" w:hRule="atLeast"/>
        </w:trPr>
        <w:tc>
          <w:tcPr>
            <w:tcW w:w="3900" w:type="dxa"/>
            <w:gridSpan w:val="3"/>
            <w:tcBorders>
              <w:top w:val="single" w:sz="12" w:space="0" w:color="000000"/>
              <w:left w:val="single" w:sz="12" w:space="0" w:color="000000"/>
              <w:bottom w:val="single" w:sz="4" w:space="0" w:color="000000"/>
              <w:right w:val="single" w:sz="12" w:space="0" w:color="000000"/>
            </w:tcBorders>
          </w:tcPr>
          <w:p>
            <w:pPr>
              <w:pStyle w:val="Normal"/>
              <w:spacing w:lineRule="auto" w:line="240" w:before="0" w:after="0"/>
              <w:jc w:val="center"/>
              <w:rPr>
                <w:b/>
                <w:bCs/>
                <w:szCs w:val="20"/>
              </w:rPr>
            </w:pPr>
            <w:r>
              <w:rPr>
                <w:b/>
                <w:bCs/>
                <w:szCs w:val="20"/>
              </w:rPr>
              <w:t>Určení impedance cívky</w:t>
            </w:r>
          </w:p>
        </w:tc>
        <w:tc>
          <w:tcPr>
            <w:tcW w:w="3899" w:type="dxa"/>
            <w:tcBorders>
              <w:top w:val="single" w:sz="12" w:space="0" w:color="000000"/>
              <w:left w:val="single" w:sz="12" w:space="0" w:color="000000"/>
              <w:bottom w:val="single" w:sz="4" w:space="0" w:color="000000"/>
              <w:right w:val="single" w:sz="12" w:space="0" w:color="000000"/>
            </w:tcBorders>
            <w:tcMar>
              <w:top w:w="0" w:type="dxa"/>
            </w:tcMar>
          </w:tcPr>
          <w:p>
            <w:pPr>
              <w:pStyle w:val="Normal"/>
              <w:spacing w:lineRule="auto" w:line="240" w:before="0" w:after="0"/>
              <w:jc w:val="center"/>
              <w:rPr>
                <w:b/>
                <w:bCs/>
                <w:szCs w:val="20"/>
              </w:rPr>
            </w:pPr>
            <w:r>
              <w:rPr>
                <w:b/>
                <w:bCs/>
                <w:szCs w:val="20"/>
              </w:rPr>
              <w:t>Typy měřidel a rozsahy</w:t>
            </w:r>
          </w:p>
        </w:tc>
      </w:tr>
      <w:tr>
        <w:trPr>
          <w:trHeight w:val="285" w:hRule="atLeast"/>
        </w:trPr>
        <w:tc>
          <w:tcPr>
            <w:tcW w:w="1300" w:type="dxa"/>
            <w:tcBorders>
              <w:left w:val="single" w:sz="12" w:space="0" w:color="000000"/>
              <w:bottom w:val="single" w:sz="4" w:space="0" w:color="000000"/>
              <w:right w:val="single" w:sz="4" w:space="0" w:color="000000"/>
            </w:tcBorders>
          </w:tcPr>
          <w:p>
            <w:pPr>
              <w:pStyle w:val="Normal"/>
              <w:spacing w:lineRule="auto" w:line="240" w:before="0" w:after="0"/>
              <w:jc w:val="center"/>
              <w:rPr>
                <w:b/>
                <w:i/>
                <w:i/>
                <w:iCs/>
                <w:szCs w:val="20"/>
              </w:rPr>
            </w:pPr>
            <w:r>
              <w:rPr>
                <w:b/>
                <w:i/>
                <w:iCs/>
                <w:szCs w:val="20"/>
              </w:rPr>
              <w:t>U</w:t>
            </w:r>
            <w:r>
              <w:rPr>
                <w:b/>
                <w:szCs w:val="20"/>
                <w:vertAlign w:val="subscript"/>
              </w:rPr>
              <w:t>STŘ</w:t>
            </w:r>
            <w:r>
              <w:rPr>
                <w:b/>
                <w:szCs w:val="20"/>
              </w:rPr>
              <w:t xml:space="preserve"> (V)</w:t>
            </w:r>
          </w:p>
        </w:tc>
        <w:tc>
          <w:tcPr>
            <w:tcW w:w="1298" w:type="dxa"/>
            <w:tcBorders>
              <w:bottom w:val="single" w:sz="4" w:space="0" w:color="000000"/>
              <w:right w:val="single" w:sz="4" w:space="0" w:color="000000"/>
            </w:tcBorders>
          </w:tcPr>
          <w:p>
            <w:pPr>
              <w:pStyle w:val="Normal"/>
              <w:spacing w:lineRule="auto" w:line="240" w:before="0" w:after="0"/>
              <w:jc w:val="center"/>
              <w:rPr>
                <w:b/>
                <w:i/>
                <w:i/>
                <w:iCs/>
                <w:szCs w:val="20"/>
              </w:rPr>
            </w:pPr>
            <w:r>
              <w:rPr>
                <w:b/>
                <w:i/>
                <w:iCs/>
                <w:szCs w:val="20"/>
              </w:rPr>
              <w:t>I</w:t>
            </w:r>
            <w:r>
              <w:rPr>
                <w:b/>
                <w:szCs w:val="20"/>
                <w:vertAlign w:val="subscript"/>
              </w:rPr>
              <w:t>STŘ</w:t>
            </w:r>
            <w:r>
              <w:rPr>
                <w:b/>
                <w:szCs w:val="20"/>
              </w:rPr>
              <w:t xml:space="preserve"> (mA)</w:t>
            </w:r>
          </w:p>
        </w:tc>
        <w:tc>
          <w:tcPr>
            <w:tcW w:w="1302" w:type="dxa"/>
            <w:tcBorders>
              <w:bottom w:val="single" w:sz="4" w:space="0" w:color="000000"/>
              <w:right w:val="single" w:sz="12" w:space="0" w:color="000000"/>
            </w:tcBorders>
          </w:tcPr>
          <w:p>
            <w:pPr>
              <w:pStyle w:val="Normal"/>
              <w:spacing w:lineRule="auto" w:line="240" w:before="0" w:after="0"/>
              <w:jc w:val="center"/>
              <w:rPr>
                <w:b/>
                <w:i/>
                <w:i/>
                <w:iCs/>
                <w:szCs w:val="20"/>
              </w:rPr>
            </w:pPr>
            <w:r>
              <w:rPr>
                <w:b/>
                <w:i/>
                <w:iCs/>
                <w:szCs w:val="20"/>
              </w:rPr>
              <w:t xml:space="preserve">f </w:t>
            </w:r>
            <w:r>
              <w:rPr>
                <w:b/>
                <w:szCs w:val="20"/>
              </w:rPr>
              <w:t>(Hz)</w:t>
            </w:r>
          </w:p>
        </w:tc>
        <w:tc>
          <w:tcPr>
            <w:tcW w:w="3899" w:type="dxa"/>
            <w:tcBorders>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i/>
                <w:iCs/>
                <w:szCs w:val="20"/>
              </w:rPr>
            </w:r>
          </w:p>
        </w:tc>
      </w:tr>
      <w:tr>
        <w:trPr>
          <w:trHeight w:val="285" w:hRule="atLeast"/>
        </w:trPr>
        <w:tc>
          <w:tcPr>
            <w:tcW w:w="1300"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298" w:type="dxa"/>
            <w:tcBorders>
              <w:bottom w:val="single" w:sz="12" w:space="0" w:color="000000"/>
              <w:right w:val="single" w:sz="4" w:space="0" w:color="000000"/>
            </w:tcBorders>
          </w:tcPr>
          <w:p>
            <w:pPr>
              <w:pStyle w:val="Normal"/>
              <w:spacing w:lineRule="auto" w:line="240" w:before="0" w:after="0"/>
              <w:jc w:val="center"/>
              <w:rPr/>
            </w:pPr>
            <w:r>
              <w:rPr/>
            </w:r>
          </w:p>
        </w:tc>
        <w:tc>
          <w:tcPr>
            <w:tcW w:w="1302" w:type="dxa"/>
            <w:tcBorders>
              <w:bottom w:val="single" w:sz="12" w:space="0" w:color="000000"/>
              <w:right w:val="single" w:sz="12" w:space="0" w:color="000000"/>
            </w:tcBorders>
          </w:tcPr>
          <w:p>
            <w:pPr>
              <w:pStyle w:val="Normal"/>
              <w:spacing w:lineRule="auto" w:line="240" w:before="0" w:after="0"/>
              <w:jc w:val="center"/>
              <w:rPr/>
            </w:pPr>
            <w:r>
              <w:rPr/>
            </w:r>
          </w:p>
        </w:tc>
        <w:tc>
          <w:tcPr>
            <w:tcW w:w="3899" w:type="dxa"/>
            <w:tcBorders>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Aplikace rezonanční metody</w:t>
      </w:r>
    </w:p>
    <w:tbl>
      <w:tblPr>
        <w:tblW w:w="7762"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58"/>
        <w:gridCol w:w="961"/>
        <w:gridCol w:w="3923"/>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C</w:t>
            </w:r>
            <w:r>
              <w:rPr>
                <w:b/>
                <w:szCs w:val="20"/>
              </w:rPr>
              <w:t xml:space="preserve"> (</w:t>
            </w:r>
            <w:r>
              <w:rPr>
                <w:rFonts w:ascii="Symbol" w:hAnsi="Symbol"/>
                <w:b/>
                <w:szCs w:val="20"/>
              </w:rPr>
              <w:t></w:t>
            </w:r>
            <w:r>
              <w:rPr>
                <w:b/>
                <w:szCs w:val="20"/>
              </w:rPr>
              <w:t>F)</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f</w:t>
            </w:r>
            <w:r>
              <w:rPr>
                <w:b/>
                <w:szCs w:val="20"/>
                <w:vertAlign w:val="subscript"/>
              </w:rPr>
              <w:t>r</w:t>
            </w:r>
            <w:r>
              <w:rPr>
                <w:b/>
                <w:szCs w:val="20"/>
              </w:rPr>
              <w:t xml:space="preserve"> (Hz)</w:t>
            </w:r>
          </w:p>
        </w:tc>
        <w:tc>
          <w:tcPr>
            <w:tcW w:w="958"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rPr>
              <w:t xml:space="preserve"> (V)</w:t>
            </w:r>
          </w:p>
        </w:tc>
        <w:tc>
          <w:tcPr>
            <w:tcW w:w="96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I</w:t>
            </w:r>
            <w:r>
              <w:rPr>
                <w:b/>
                <w:szCs w:val="20"/>
                <w:vertAlign w:val="subscript"/>
              </w:rPr>
              <w:t>r</w:t>
            </w:r>
            <w:r>
              <w:rPr>
                <w:b/>
                <w:szCs w:val="20"/>
              </w:rPr>
              <w:t xml:space="preserve"> (mA)</w:t>
            </w:r>
          </w:p>
        </w:tc>
        <w:tc>
          <w:tcPr>
            <w:tcW w:w="3923" w:type="dxa"/>
            <w:tcBorders>
              <w:top w:val="single" w:sz="12" w:space="0" w:color="000000"/>
              <w:left w:val="single" w:sz="4" w:space="0" w:color="000000"/>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bCs/>
                <w:szCs w:val="20"/>
              </w:rPr>
              <w:t>Typy měřidel a rozsahy</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58"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6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3923" w:type="dxa"/>
            <w:tcBorders>
              <w:top w:val="single" w:sz="4" w:space="0" w:color="000000"/>
              <w:left w:val="single" w:sz="4" w:space="0" w:color="000000"/>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činitele jakosti</w:t>
      </w:r>
    </w:p>
    <w:tbl>
      <w:tblPr>
        <w:tblW w:w="6099"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19"/>
        <w:gridCol w:w="1421"/>
        <w:gridCol w:w="3259"/>
      </w:tblGrid>
      <w:tr>
        <w:trPr>
          <w:trHeight w:val="285" w:hRule="atLeast"/>
        </w:trPr>
        <w:tc>
          <w:tcPr>
            <w:tcW w:w="1419"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g</w:t>
            </w:r>
            <w:r>
              <w:rPr>
                <w:b/>
                <w:szCs w:val="20"/>
              </w:rPr>
              <w:t xml:space="preserve"> (V)</w:t>
            </w:r>
          </w:p>
        </w:tc>
        <w:tc>
          <w:tcPr>
            <w:tcW w:w="1421"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U</w:t>
            </w:r>
            <w:r>
              <w:rPr>
                <w:b/>
                <w:szCs w:val="20"/>
                <w:vertAlign w:val="subscript"/>
              </w:rPr>
              <w:t>C</w:t>
            </w:r>
            <w:r>
              <w:rPr>
                <w:b/>
                <w:szCs w:val="20"/>
              </w:rPr>
              <w:t xml:space="preserve"> (V)</w:t>
            </w:r>
          </w:p>
        </w:tc>
        <w:tc>
          <w:tcPr>
            <w:tcW w:w="3259" w:type="dxa"/>
            <w:tcBorders>
              <w:top w:val="single" w:sz="12" w:space="0" w:color="000000"/>
              <w:left w:val="single" w:sz="4" w:space="0" w:color="000000"/>
              <w:bottom w:val="single" w:sz="4" w:space="0" w:color="000000"/>
              <w:right w:val="single" w:sz="12" w:space="0" w:color="000000"/>
            </w:tcBorders>
            <w:tcMar>
              <w:top w:w="0" w:type="dxa"/>
            </w:tcMar>
          </w:tcPr>
          <w:p>
            <w:pPr>
              <w:pStyle w:val="Normal"/>
              <w:spacing w:lineRule="auto" w:line="240" w:before="0" w:after="0"/>
              <w:jc w:val="center"/>
              <w:rPr>
                <w:b/>
                <w:i/>
                <w:i/>
                <w:iCs/>
                <w:szCs w:val="20"/>
              </w:rPr>
            </w:pPr>
            <w:r>
              <w:rPr>
                <w:b/>
                <w:bCs/>
                <w:szCs w:val="20"/>
              </w:rPr>
              <w:t>Typy měřidel a rozsahy</w:t>
            </w:r>
          </w:p>
        </w:tc>
      </w:tr>
      <w:tr>
        <w:trPr>
          <w:trHeight w:val="285" w:hRule="atLeast"/>
        </w:trPr>
        <w:tc>
          <w:tcPr>
            <w:tcW w:w="1419"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421"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3259" w:type="dxa"/>
            <w:tcBorders>
              <w:top w:val="single" w:sz="4" w:space="0" w:color="000000"/>
              <w:left w:val="single" w:sz="4" w:space="0" w:color="000000"/>
              <w:bottom w:val="single" w:sz="12" w:space="0" w:color="000000"/>
              <w:right w:val="single" w:sz="12" w:space="0" w:color="000000"/>
            </w:tcBorders>
            <w:tcMar>
              <w:top w:w="0"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16</w:t>
      </w:r>
      <w:r>
        <w:rPr/>
        <w:fldChar w:fldCharType="end"/>
      </w:r>
      <w:r>
        <w:rPr/>
        <w:t>: Skutečné parametry cívky (měření RLC můstkem)</w:t>
      </w:r>
    </w:p>
    <w:tbl>
      <w:tblPr>
        <w:tblW w:w="6075"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199"/>
        <w:gridCol w:w="1201"/>
        <w:gridCol w:w="3675"/>
      </w:tblGrid>
      <w:tr>
        <w:trPr>
          <w:trHeight w:val="285" w:hRule="atLeast"/>
        </w:trPr>
        <w:tc>
          <w:tcPr>
            <w:tcW w:w="1199"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R</w:t>
            </w:r>
            <w:r>
              <w:rPr>
                <w:b/>
                <w:szCs w:val="20"/>
                <w:vertAlign w:val="subscript"/>
              </w:rPr>
              <w:t>L</w:t>
            </w:r>
            <w:r>
              <w:rPr>
                <w:b/>
                <w:szCs w:val="20"/>
              </w:rPr>
              <w:t xml:space="preserve"> (Ω)</w:t>
            </w:r>
          </w:p>
        </w:tc>
        <w:tc>
          <w:tcPr>
            <w:tcW w:w="1201" w:type="dxa"/>
            <w:tcBorders>
              <w:top w:val="single" w:sz="12"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(mH)</w:t>
            </w:r>
          </w:p>
        </w:tc>
        <w:tc>
          <w:tcPr>
            <w:tcW w:w="3675" w:type="dxa"/>
            <w:tcBorders>
              <w:top w:val="single" w:sz="12" w:space="0" w:color="000000"/>
              <w:bottom w:val="single" w:sz="4" w:space="0" w:color="000000"/>
              <w:right w:val="single" w:sz="12" w:space="0" w:color="000000"/>
            </w:tcBorders>
            <w:tcMar>
              <w:top w:w="0" w:type="dxa"/>
              <w:right w:w="5" w:type="dxa"/>
            </w:tcMar>
          </w:tcPr>
          <w:p>
            <w:pPr>
              <w:pStyle w:val="Normal"/>
              <w:spacing w:lineRule="auto" w:line="240" w:before="0" w:after="0"/>
              <w:jc w:val="center"/>
              <w:rPr>
                <w:b/>
                <w:i/>
                <w:i/>
                <w:iCs/>
                <w:szCs w:val="20"/>
              </w:rPr>
            </w:pPr>
            <w:r>
              <w:rPr>
                <w:b/>
                <w:bCs/>
                <w:szCs w:val="20"/>
              </w:rPr>
              <w:t>Typy měřidel a rozsahy</w:t>
            </w:r>
          </w:p>
        </w:tc>
      </w:tr>
      <w:tr>
        <w:trPr>
          <w:trHeight w:val="345" w:hRule="atLeast"/>
        </w:trPr>
        <w:tc>
          <w:tcPr>
            <w:tcW w:w="1199" w:type="dxa"/>
            <w:tcBorders>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1201" w:type="dxa"/>
            <w:tcBorders>
              <w:bottom w:val="single" w:sz="12" w:space="0" w:color="000000"/>
              <w:right w:val="single" w:sz="12" w:space="0" w:color="000000"/>
            </w:tcBorders>
          </w:tcPr>
          <w:p>
            <w:pPr>
              <w:pStyle w:val="Normal"/>
              <w:spacing w:lineRule="auto" w:line="240" w:before="0" w:after="0"/>
              <w:jc w:val="center"/>
              <w:rPr/>
            </w:pPr>
            <w:r>
              <w:rPr/>
            </w:r>
          </w:p>
        </w:tc>
        <w:tc>
          <w:tcPr>
            <w:tcW w:w="3675" w:type="dxa"/>
            <w:tcBorders>
              <w:bottom w:val="single" w:sz="12" w:space="0" w:color="000000"/>
              <w:right w:val="single" w:sz="12" w:space="0" w:color="000000"/>
            </w:tcBorders>
            <w:tcMar>
              <w:top w:w="0" w:type="dxa"/>
              <w:right w:w="5" w:type="dxa"/>
            </w:tcMar>
          </w:tcPr>
          <w:p>
            <w:pPr>
              <w:pStyle w:val="Normal"/>
              <w:spacing w:lineRule="auto" w:line="240" w:before="0" w:after="0"/>
              <w:jc w:val="center"/>
              <w:rPr/>
            </w:pPr>
            <w:r>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17</w:t>
      </w:r>
      <w:r>
        <w:rPr/>
        <w:fldChar w:fldCharType="end"/>
      </w:r>
      <w:r>
        <w:rPr/>
        <w:t>: Parametry cívky (v případě cívky jiného tvaru zapište příslušné parametry od zde uvedených)</w:t>
      </w:r>
    </w:p>
    <w:tbl>
      <w:tblPr>
        <w:tblW w:w="384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960"/>
        <w:gridCol w:w="960"/>
        <w:gridCol w:w="960"/>
        <w:gridCol w:w="959"/>
      </w:tblGrid>
      <w:tr>
        <w:trPr>
          <w:trHeight w:val="285" w:hRule="atLeast"/>
        </w:trPr>
        <w:tc>
          <w:tcPr>
            <w:tcW w:w="960" w:type="dxa"/>
            <w:tcBorders>
              <w:top w:val="single" w:sz="12" w:space="0" w:color="000000"/>
              <w:left w:val="single" w:sz="12"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N</w:t>
            </w:r>
            <w:r>
              <w:rPr>
                <w:b/>
                <w:szCs w:val="20"/>
              </w:rPr>
              <w:t xml:space="preserve"> (</w:t>
            </w:r>
            <w:r>
              <w:rPr>
                <w:rFonts w:ascii="Symbol" w:hAnsi="Symbol"/>
                <w:b/>
                <w:szCs w:val="20"/>
              </w:rPr>
              <w:t></w:t>
            </w:r>
            <w:r>
              <w:rPr>
                <w:b/>
                <w:szCs w:val="20"/>
              </w:rPr>
              <w:t>)</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a</w:t>
            </w:r>
            <w:r>
              <w:rPr>
                <w:b/>
                <w:szCs w:val="20"/>
              </w:rPr>
              <w:t xml:space="preserve"> (mm)</w:t>
            </w:r>
          </w:p>
        </w:tc>
        <w:tc>
          <w:tcPr>
            <w:tcW w:w="960" w:type="dxa"/>
            <w:tcBorders>
              <w:top w:val="single" w:sz="12" w:space="0" w:color="000000"/>
              <w:left w:val="single" w:sz="4" w:space="0" w:color="000000"/>
              <w:bottom w:val="single" w:sz="4" w:space="0" w:color="000000"/>
              <w:right w:val="single" w:sz="4" w:space="0" w:color="000000"/>
            </w:tcBorders>
          </w:tcPr>
          <w:p>
            <w:pPr>
              <w:pStyle w:val="Normal"/>
              <w:spacing w:lineRule="auto" w:line="240" w:before="0" w:after="0"/>
              <w:jc w:val="center"/>
              <w:rPr>
                <w:b/>
                <w:szCs w:val="20"/>
              </w:rPr>
            </w:pPr>
            <w:r>
              <w:rPr>
                <w:b/>
                <w:i/>
                <w:iCs/>
                <w:szCs w:val="20"/>
              </w:rPr>
              <w:t>b</w:t>
            </w:r>
            <w:r>
              <w:rPr>
                <w:b/>
                <w:szCs w:val="20"/>
              </w:rPr>
              <w:t xml:space="preserve"> (mm)</w:t>
            </w:r>
          </w:p>
        </w:tc>
        <w:tc>
          <w:tcPr>
            <w:tcW w:w="959" w:type="dxa"/>
            <w:tcBorders>
              <w:top w:val="single" w:sz="12" w:space="0" w:color="000000"/>
              <w:left w:val="single" w:sz="4" w:space="0" w:color="000000"/>
              <w:bottom w:val="single" w:sz="4" w:space="0" w:color="000000"/>
              <w:right w:val="single" w:sz="12" w:space="0" w:color="000000"/>
            </w:tcBorders>
          </w:tcPr>
          <w:p>
            <w:pPr>
              <w:pStyle w:val="Normal"/>
              <w:spacing w:lineRule="auto" w:line="240" w:before="0" w:after="0"/>
              <w:jc w:val="center"/>
              <w:rPr>
                <w:b/>
                <w:szCs w:val="20"/>
              </w:rPr>
            </w:pPr>
            <w:r>
              <w:rPr>
                <w:b/>
                <w:i/>
                <w:iCs/>
                <w:szCs w:val="20"/>
              </w:rPr>
              <w:t>l</w:t>
            </w:r>
            <w:r>
              <w:rPr>
                <w:b/>
                <w:szCs w:val="20"/>
              </w:rPr>
              <w:t xml:space="preserve"> (mm)</w:t>
            </w:r>
          </w:p>
        </w:tc>
      </w:tr>
      <w:tr>
        <w:trPr>
          <w:trHeight w:val="285" w:hRule="atLeast"/>
        </w:trPr>
        <w:tc>
          <w:tcPr>
            <w:tcW w:w="960" w:type="dxa"/>
            <w:tcBorders>
              <w:top w:val="single" w:sz="4" w:space="0" w:color="000000"/>
              <w:left w:val="single" w:sz="12"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60" w:type="dxa"/>
            <w:tcBorders>
              <w:top w:val="single" w:sz="4" w:space="0" w:color="000000"/>
              <w:left w:val="single" w:sz="4" w:space="0" w:color="000000"/>
              <w:bottom w:val="single" w:sz="12" w:space="0" w:color="000000"/>
              <w:right w:val="single" w:sz="4" w:space="0" w:color="000000"/>
            </w:tcBorders>
          </w:tcPr>
          <w:p>
            <w:pPr>
              <w:pStyle w:val="Normal"/>
              <w:spacing w:lineRule="auto" w:line="240" w:before="0" w:after="0"/>
              <w:jc w:val="center"/>
              <w:rPr/>
            </w:pPr>
            <w:r>
              <w:rPr/>
            </w:r>
          </w:p>
        </w:tc>
        <w:tc>
          <w:tcPr>
            <w:tcW w:w="959" w:type="dxa"/>
            <w:tcBorders>
              <w:top w:val="single" w:sz="4" w:space="0" w:color="000000"/>
              <w:left w:val="single" w:sz="4" w:space="0" w:color="000000"/>
              <w:bottom w:val="single" w:sz="12" w:space="0" w:color="000000"/>
              <w:right w:val="single" w:sz="12" w:space="0" w:color="000000"/>
            </w:tcBorders>
          </w:tcPr>
          <w:p>
            <w:pPr>
              <w:pStyle w:val="Normal"/>
              <w:spacing w:lineRule="auto" w:line="240" w:before="0" w:after="0"/>
              <w:jc w:val="center"/>
              <w:rPr/>
            </w:pPr>
            <w:r>
              <w:rPr/>
            </w:r>
          </w:p>
        </w:tc>
      </w:tr>
    </w:tbl>
    <w:p>
      <w:pPr>
        <w:pStyle w:val="Normal"/>
        <w:rPr/>
      </w:pPr>
      <w:r>
        <w:rPr/>
        <w:t>Datum měření:……………..............................Termín: řádný – náhradní (důvod:……………………………………)</w:t>
      </w:r>
      <w:r>
        <w:rPr>
          <w:rStyle w:val="FootnoteReference"/>
        </w:rPr>
        <w:footnoteReference w:id="6"/>
      </w:r>
    </w:p>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2"/>
        <w:gridCol w:w="1842"/>
        <w:gridCol w:w="1843"/>
        <w:gridCol w:w="1842"/>
        <w:gridCol w:w="1843"/>
      </w:tblGrid>
      <w:tr>
        <w:trPr/>
        <w:tc>
          <w:tcPr>
            <w:tcW w:w="1842"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cívka</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kondenzátor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RLC můstek</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voltmetr</w:t>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42"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nf ampérmetr</w:t>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3"/>
        <w:rPr/>
      </w:pPr>
      <w:bookmarkStart w:id="0" w:name="_GoBack"/>
      <w:bookmarkEnd w:id="0"/>
      <w:r>
        <w:rPr/>
        <w:t>Poznámky</w:t>
      </w:r>
    </w:p>
    <w:p>
      <w:pPr>
        <w:pStyle w:val="Normal"/>
        <w:rPr/>
      </w:pPr>
      <w:r>
        <w:rPr/>
      </w:r>
    </w:p>
    <w:p>
      <w:pPr>
        <w:pStyle w:val="Heading3"/>
        <w:rPr/>
      </w:pPr>
      <w:r>
        <w:rPr/>
        <w:t>Verifikace</w:t>
      </w:r>
    </w:p>
    <w:p>
      <w:pPr>
        <w:pStyle w:val="Normal"/>
        <w:rPr/>
      </w:pPr>
      <w:r>
        <w:rPr/>
        <w:t>Podpis vyučujícího:………………………………………………………………………………………………………………………………</w:t>
      </w:r>
    </w:p>
    <w:p>
      <w:pPr>
        <w:pStyle w:val="Normal"/>
        <w:rPr/>
      </w:pPr>
      <w:r>
        <w:rPr/>
      </w:r>
    </w:p>
    <w:p>
      <w:pPr>
        <w:pStyle w:val="Normal"/>
        <w:rPr/>
      </w:pPr>
      <w:r>
        <w:rPr/>
      </w:r>
    </w:p>
    <w:p>
      <w:pPr>
        <w:pStyle w:val="Normal"/>
        <w:widowControl/>
        <w:bidi w:val="0"/>
        <w:spacing w:lineRule="auto" w:line="276" w:before="0" w:after="200"/>
        <w:jc w:val="both"/>
        <w:rPr/>
      </w:pPr>
      <w:r>
        <w:rPr/>
      </w:r>
    </w:p>
    <w:sectPr>
      <w:headerReference w:type="default" r:id="rId8"/>
      <w:footerReference w:type="default" r:id="rId9"/>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jc w:val="center"/>
      <w:rPr>
        <w:b/>
      </w:rPr>
    </w:pPr>
    <w:r>
      <w:rPr>
        <w:b/>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PlaceholderText">
    <w:name w:val="Placeholder Text"/>
    <w:basedOn w:val="DefaultParagraphFont"/>
    <w:uiPriority w:val="99"/>
    <w:semiHidden/>
    <w:qFormat/>
    <w:rsid w:val="006d2cd4"/>
    <w:rPr>
      <w:color w:val="808080"/>
    </w:rPr>
  </w:style>
  <w:style w:type="character" w:styleId="Znakyprovysvtlivky">
    <w:name w:val="Znaky pro vysvětlivky"/>
    <w:qForma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1CE39-6595-4C5E-B19E-66ADB11C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115</TotalTime>
  <Application>LibreOffice/7.6.4.1$Linux_X86_64 LibreOffice_project/60$Build-1</Application>
  <AppVersion>15.0000</AppVersion>
  <Pages>18</Pages>
  <Words>1744</Words>
  <Characters>12700</Characters>
  <CharactersWithSpaces>14061</CharactersWithSpaces>
  <Paragraphs>394</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2022-03-04T20:40:00Z</dcterms:created>
  <dc:creator>pietschmann</dc:creator>
  <dc:description/>
  <dc:language>cs-CZ</dc:language>
  <cp:lastModifiedBy>Vojtěch Vašek</cp:lastModifiedBy>
  <cp:lastPrinted>2022-03-04T20:40:00Z</cp:lastPrinted>
  <dcterms:modified xsi:type="dcterms:W3CDTF">2024-02-26T14:47:06Z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