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_GoBack"/>
      <w:bookmarkEnd w:id="0"/>
      <w:r>
        <w:rPr/>
        <w:t>Ověření základních principů elektrotechniky</w:t>
      </w:r>
    </w:p>
    <w:p>
      <w:pPr>
        <w:pStyle w:val="Normal"/>
        <w:rPr/>
      </w:pPr>
      <w:r>
        <w:rPr/>
      </w:r>
    </w:p>
    <w:p>
      <w:pPr>
        <w:pStyle w:val="Heading2"/>
        <w:rPr/>
      </w:pPr>
      <w:r>
        <w:rPr/>
        <w:t>Úkol měření</w:t>
      </w:r>
    </w:p>
    <w:p>
      <w:pPr>
        <w:pStyle w:val="ListParagraph"/>
        <w:numPr>
          <w:ilvl w:val="0"/>
          <w:numId w:val="1"/>
        </w:numPr>
        <w:rPr/>
      </w:pPr>
      <w:r>
        <w:rPr/>
        <w:t>V rámci domácí přípravy si zopakujte základní principy elektrotechniky. Pozornost věnujte zejména Ohmovu zákonu, Kirchhoffovým zákonům, větám o náhradních zdrojích, principu superpozice.</w:t>
      </w:r>
    </w:p>
    <w:p>
      <w:pPr>
        <w:pStyle w:val="ListParagraph"/>
        <w:numPr>
          <w:ilvl w:val="0"/>
          <w:numId w:val="1"/>
        </w:numPr>
        <w:rPr/>
      </w:pPr>
      <w:r>
        <w:rPr/>
        <w:t>V rámci domácí přípravy si zopakujte problematiku chyb měření, pozornost věnujte zejména chybám měřicích přístrojů a metodickým chybám.</w:t>
      </w:r>
    </w:p>
    <w:p>
      <w:pPr>
        <w:pStyle w:val="ListParagraph"/>
        <w:numPr>
          <w:ilvl w:val="0"/>
          <w:numId w:val="1"/>
        </w:numPr>
        <w:rPr/>
      </w:pPr>
      <w:r>
        <w:rPr/>
        <w:t>Na základě domácí přípravy a následného laboratorního cvičení ověřte platnost Theveninovy věty o náhradním zdroji.</w:t>
      </w:r>
    </w:p>
    <w:p>
      <w:pPr>
        <w:pStyle w:val="ListParagraph"/>
        <w:numPr>
          <w:ilvl w:val="0"/>
          <w:numId w:val="1"/>
        </w:numPr>
        <w:rPr/>
      </w:pPr>
      <w:r>
        <w:rPr/>
        <w:t>V rámci domácí přípravy vypočtěte parametry náhradního obvodu a hodnoty výstupního napětí pro dané hodnoty zátěže.</w:t>
      </w:r>
    </w:p>
    <w:p>
      <w:pPr>
        <w:pStyle w:val="ListParagraph"/>
        <w:numPr>
          <w:ilvl w:val="0"/>
          <w:numId w:val="1"/>
        </w:numPr>
        <w:rPr/>
      </w:pPr>
      <w:r>
        <w:rPr/>
        <w:t>Výsledek zpracujte graficky (srovnejte naměřené hodnoty původního obvodu s naměřenými hodnotami sestaveného modelu).</w:t>
      </w:r>
    </w:p>
    <w:p>
      <w:pPr>
        <w:pStyle w:val="ListParagraph"/>
        <w:numPr>
          <w:ilvl w:val="0"/>
          <w:numId w:val="1"/>
        </w:numPr>
        <w:rPr/>
      </w:pPr>
      <w:r>
        <w:rPr/>
        <w:t>Vypočtené hodnoty srovnejte s naměřenými – zhodnoťte odchylky (chyby) – i graficky.</w:t>
      </w:r>
    </w:p>
    <w:p>
      <w:pPr>
        <w:pStyle w:val="ListParagraph"/>
        <w:numPr>
          <w:ilvl w:val="0"/>
          <w:numId w:val="1"/>
        </w:numPr>
        <w:rPr/>
      </w:pPr>
      <w:r>
        <w:rPr/>
        <w:t>Na základě domácí přípravy a následného laboratorního cvičení ověřte platnost principu superpozice.</w:t>
      </w:r>
    </w:p>
    <w:p>
      <w:pPr>
        <w:pStyle w:val="ListParagraph"/>
        <w:numPr>
          <w:ilvl w:val="0"/>
          <w:numId w:val="1"/>
        </w:numPr>
        <w:rPr/>
      </w:pPr>
      <w:r>
        <w:rPr/>
        <w:t>V rámci domácí přípravy proveďte analýzu obvodu metodou superpozice (vypočtěte dílčí mezivýsledky a výsledek).</w:t>
      </w:r>
    </w:p>
    <w:p>
      <w:pPr>
        <w:pStyle w:val="ListParagraph"/>
        <w:numPr>
          <w:ilvl w:val="0"/>
          <w:numId w:val="1"/>
        </w:numPr>
        <w:rPr/>
      </w:pPr>
      <w:r>
        <w:rPr/>
        <w:t>Vypočtené hodnoty srovnejte s naměřenými - zhodnoťte odchylky (chyby).</w:t>
      </w:r>
    </w:p>
    <w:p>
      <w:pPr>
        <w:pStyle w:val="Normal"/>
        <w:rPr/>
      </w:pPr>
      <w:r>
        <w:rPr/>
      </w:r>
    </w:p>
    <w:p>
      <w:pPr>
        <w:pStyle w:val="Heading2"/>
        <w:rPr/>
      </w:pPr>
      <w:r>
        <w:rPr/>
        <w:t>Obecná část</w:t>
      </w:r>
    </w:p>
    <w:p>
      <w:pPr>
        <w:pStyle w:val="Normal"/>
        <w:rPr/>
      </w:pPr>
      <w:r>
        <w:rPr/>
        <w:t xml:space="preserve">Theveninův teorém hovoří o tom, že lze libovolný obvod nahradit sériovou kombinací náhradních prvků. Tyto náhradní prvky jsou: zdroj napětí naprázdno </w:t>
      </w:r>
      <w:r>
        <w:rPr>
          <w:i/>
          <w:iCs/>
        </w:rPr>
        <w:t>U</w:t>
      </w:r>
      <w:r>
        <w:rPr>
          <w:vertAlign w:val="subscript"/>
        </w:rPr>
        <w:t>i</w:t>
      </w:r>
      <w:r>
        <w:rPr/>
        <w:t xml:space="preserve"> a výstupní odpor obvodu </w:t>
      </w:r>
      <w:r>
        <w:rPr>
          <w:i/>
          <w:iCs/>
        </w:rPr>
        <w:t>R</w:t>
      </w:r>
      <w:r>
        <w:rPr>
          <w:vertAlign w:val="subscript"/>
        </w:rPr>
        <w:t>i</w:t>
      </w:r>
      <w:r>
        <w:rPr/>
        <w:t>. Původní a náhradní obvod se z hlediska výstupních svorek chovají shodně.</w:t>
      </w:r>
    </w:p>
    <w:p>
      <w:pPr>
        <w:pStyle w:val="Normal"/>
        <w:rPr/>
      </w:pPr>
      <w:r>
        <w:rPr/>
        <w:t>Princip superpozice je použitelný pouze v lineárních obvodech. Zde platí, že je následek součtu příčin roven součtu následků jednotlivých příčin.</w:t>
      </w:r>
    </w:p>
    <w:p>
      <w:pPr>
        <w:pStyle w:val="Normal"/>
        <w:rPr/>
      </w:pPr>
      <w:r>
        <w:rPr/>
        <w:t>Pro určení chyby modelu použijeme definici absolutní chyby jako rozdílu mezi hodnotou zjištěnou v náhradním a původním obvodě:</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d>
            <m:dPr>
              <m:begChr m:val="|"/>
              <m:endChr m:val="|"/>
            </m:dPr>
            <m:e>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nahradni</m:t>
                      </m:r>
                    </m:sub>
                  </m:sSub>
                </m:sub>
              </m:sSub>
              <m:r>
                <w:rPr>
                  <w:rFonts w:ascii="Cambria Math" w:hAnsi="Cambria Math"/>
                </w:rPr>
                <m:t xml:space="preserve">−</m:t>
              </m:r>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e>
          </m:d>
        </m:oMath>
      </m:oMathPara>
    </w:p>
    <w:p>
      <w:pPr>
        <w:pStyle w:val="Normal"/>
        <w:rPr/>
      </w:pPr>
      <w:r>
        <w:rPr/>
        <w:t>Relativní chybu (v %) pak zjistíme vztažením absolutní chyby ke správné hodnotě (zde k hodnotě z původního obvodu), násobením 100:</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AB</m:t>
                      </m:r>
                    </m:sub>
                  </m:sSub>
                </m:e>
              </m:d>
            </m:num>
            <m:den>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den>
          </m:f>
          <m:r>
            <w:rPr>
              <w:rFonts w:ascii="Cambria Math" w:hAnsi="Cambria Math"/>
            </w:rPr>
            <m:t xml:space="preserve">∗</m:t>
          </m:r>
          <m:r>
            <m:rPr>
              <m:lit/>
              <m:nor/>
            </m:rPr>
            <w:rPr>
              <w:rFonts w:ascii="Cambria Math" w:hAnsi="Cambria Math"/>
            </w:rPr>
            <m:t xml:space="preserve">100</m:t>
          </m:r>
        </m:oMath>
      </m:oMathPara>
    </w:p>
    <w:p>
      <w:pPr>
        <w:pStyle w:val="Normal"/>
        <w:rPr/>
      </w:pPr>
      <w:r>
        <w:rPr/>
        <w:t>Analogickým způsobem pak budeme postupovat také u principu superpozice. Hodnotu absolutní chyby budeme definovat jako rozdíl součtu napětí z dílčích obvodů a původního kompletního obvodu. Relativní chybu taktéž obdržíme analogickým postupem k výše uvedenému.</w:t>
      </w:r>
    </w:p>
    <w:p>
      <w:pPr>
        <w:pStyle w:val="Normal"/>
        <w:rPr/>
      </w:pPr>
      <w:r>
        <w:rPr/>
      </w:r>
    </w:p>
    <w:p>
      <w:pPr>
        <w:pStyle w:val="Heading2"/>
        <w:rPr/>
      </w:pPr>
      <w:r>
        <w:rPr/>
        <w:t>Schéma zapojení</w:t>
      </w:r>
    </w:p>
    <w:p>
      <w:pPr>
        <w:pStyle w:val="Normal"/>
        <w:keepNext w:val="true"/>
        <w:jc w:val="center"/>
        <w:rPr/>
      </w:pPr>
      <w:r>
        <w:rPr/>
        <w:drawing>
          <wp:inline distT="0" distB="0" distL="0" distR="0">
            <wp:extent cx="5760720" cy="1130935"/>
            <wp:effectExtent l="0" t="0" r="0" b="0"/>
            <wp:docPr id="1" name="obrázek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2" descr=""/>
                    <pic:cNvPicPr>
                      <a:picLocks noChangeAspect="1" noChangeArrowheads="1"/>
                    </pic:cNvPicPr>
                  </pic:nvPicPr>
                  <pic:blipFill>
                    <a:blip r:embed="rId2"/>
                    <a:stretch>
                      <a:fillRect/>
                    </a:stretch>
                  </pic:blipFill>
                  <pic:spPr bwMode="auto">
                    <a:xfrm>
                      <a:off x="0" y="0"/>
                      <a:ext cx="5760720" cy="113093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Ověření Theveninova teorému</w:t>
      </w:r>
    </w:p>
    <w:p>
      <w:pPr>
        <w:pStyle w:val="Normal"/>
        <w:jc w:val="center"/>
        <w:rPr/>
      </w:pPr>
      <w:r>
        <w:rPr/>
      </w:r>
    </w:p>
    <w:p>
      <w:pPr>
        <w:pStyle w:val="Normal"/>
        <w:keepNext w:val="true"/>
        <w:jc w:val="center"/>
        <w:rPr/>
      </w:pPr>
      <w:r>
        <w:rPr/>
        <w:drawing>
          <wp:inline distT="0" distB="0" distL="0" distR="0">
            <wp:extent cx="6029960" cy="1323975"/>
            <wp:effectExtent l="0" t="0" r="0" b="0"/>
            <wp:docPr id="2" name="obráze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5" descr=""/>
                    <pic:cNvPicPr>
                      <a:picLocks noChangeAspect="1" noChangeArrowheads="1"/>
                    </pic:cNvPicPr>
                  </pic:nvPicPr>
                  <pic:blipFill>
                    <a:blip r:embed="rId3"/>
                    <a:stretch>
                      <a:fillRect/>
                    </a:stretch>
                  </pic:blipFill>
                  <pic:spPr bwMode="auto">
                    <a:xfrm>
                      <a:off x="0" y="0"/>
                      <a:ext cx="6029960" cy="13239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Ověření principu superpozice</w:t>
      </w:r>
    </w:p>
    <w:p>
      <w:pPr>
        <w:pStyle w:val="Heading2"/>
        <w:rPr/>
      </w:pPr>
      <w:r>
        <w:rPr/>
        <w:t>Postup měření</w:t>
      </w:r>
    </w:p>
    <w:p>
      <w:pPr>
        <w:pStyle w:val="Heading3"/>
        <w:rPr/>
      </w:pPr>
      <w:r>
        <w:rPr/>
        <w:t>Ověření Theveninova teorému</w:t>
      </w:r>
    </w:p>
    <w:p>
      <w:pPr>
        <w:pStyle w:val="ListParagraph"/>
        <w:numPr>
          <w:ilvl w:val="0"/>
          <w:numId w:val="2"/>
        </w:numPr>
        <w:rPr/>
      </w:pPr>
      <w:r>
        <w:rPr/>
        <w:t>Zapojíme odporový obvod dle prvního schématu pro ověření Theveninova teorému, na odporových dekádách nastavíme příslušné hodnoty odporů.</w:t>
      </w:r>
    </w:p>
    <w:p>
      <w:pPr>
        <w:pStyle w:val="ListParagraph"/>
        <w:numPr>
          <w:ilvl w:val="0"/>
          <w:numId w:val="2"/>
        </w:numPr>
        <w:rPr/>
      </w:pPr>
      <w:r>
        <w:rPr/>
        <w:t>Měření výstupního napětí provedeme pro 10 hodnot zatěžovacího odporu nastavovaného na dekádě. Naměřené hodnoty zapisujeme do tabulky.</w:t>
      </w:r>
    </w:p>
    <w:p>
      <w:pPr>
        <w:pStyle w:val="ListParagraph"/>
        <w:numPr>
          <w:ilvl w:val="0"/>
          <w:numId w:val="2"/>
        </w:numPr>
        <w:rPr/>
      </w:pPr>
      <w:r>
        <w:rPr/>
        <w:t>Zapojíme odporový obvod dle druhého schématu, na odporové dekádě nastavíme (v rámci domácí přípravy vypočtenou) hodnotu vnitřního odporu a hodnotu vnitřního napětí na regulovatelném zdroji napětí.</w:t>
      </w:r>
    </w:p>
    <w:p>
      <w:pPr>
        <w:pStyle w:val="ListParagraph"/>
        <w:numPr>
          <w:ilvl w:val="0"/>
          <w:numId w:val="2"/>
        </w:numPr>
        <w:rPr/>
      </w:pPr>
      <w:r>
        <w:rPr/>
        <w:t>Měření výstupního napětí provedeme pro stejných 10 hodnot zatěžovacího odporu nastavovaného na dekádě. Naměřené hodnoty zapisujeme do tabulky.</w:t>
      </w:r>
    </w:p>
    <w:p>
      <w:pPr>
        <w:pStyle w:val="ListParagraph"/>
        <w:numPr>
          <w:ilvl w:val="0"/>
          <w:numId w:val="2"/>
        </w:numPr>
        <w:rPr/>
      </w:pPr>
      <w:r>
        <w:rPr/>
        <w:t>V rámci následného vypracování protokolu provedeme srovnání a vyhodnocení výsledků prostřednictvím výpočtu chyb a grafického zpracování naměřených a vypočtených dat.</w:t>
      </w:r>
    </w:p>
    <w:p>
      <w:pPr>
        <w:pStyle w:val="Normal"/>
        <w:rPr/>
      </w:pPr>
      <w:r>
        <w:rPr/>
      </w:r>
    </w:p>
    <w:p>
      <w:pPr>
        <w:pStyle w:val="Heading3"/>
        <w:rPr/>
      </w:pPr>
      <w:r>
        <w:rPr/>
        <w:t>Ověření principu superpozice</w:t>
      </w:r>
    </w:p>
    <w:p>
      <w:pPr>
        <w:pStyle w:val="ListParagraph"/>
        <w:numPr>
          <w:ilvl w:val="0"/>
          <w:numId w:val="6"/>
        </w:numPr>
        <w:rPr/>
      </w:pPr>
      <w:r>
        <w:rPr/>
        <w:t>Zapojíme odporový obvod dle prvního schématu pro ověření principu superpozice, na odporových dekádách nastavíme příslušné hodnoty odporů, na zdrojích napětí nastavíme předepsané hodnoty. Změříme napětí mezi body A, B, zapíšeme do tabulky.</w:t>
      </w:r>
    </w:p>
    <w:p>
      <w:pPr>
        <w:pStyle w:val="ListParagraph"/>
        <w:numPr>
          <w:ilvl w:val="0"/>
          <w:numId w:val="6"/>
        </w:numPr>
        <w:rPr/>
      </w:pPr>
      <w:r>
        <w:rPr/>
        <w:t>Napětí mezi body A, B určíme podle principu superpozice jako součet příspěvků od jednotlivých zdrojů (druhý zdroj je vždy nahrazen zkratem – 2. a 3. schéma pro ověření principu superpozice). Oba zdroje postupně nahradíme zkratem a pokaždé změříme napětí mezi body A, B a zapíšeme do tabulky.</w:t>
      </w:r>
    </w:p>
    <w:p>
      <w:pPr>
        <w:pStyle w:val="ListParagraph"/>
        <w:numPr>
          <w:ilvl w:val="0"/>
          <w:numId w:val="6"/>
        </w:numPr>
        <w:rPr/>
      </w:pPr>
      <w:r>
        <w:rPr/>
        <w:t>Provedeme srovnání a vyhodnocení výsledků prostřednictvím výpočtu chyb. Počítáme ze sloupců v tabulce naměřených hodnot.</w:t>
      </w:r>
    </w:p>
    <w:p>
      <w:pPr>
        <w:pStyle w:val="Heading2"/>
        <w:rPr/>
      </w:pPr>
      <w:r>
        <w:rPr/>
        <w:t>Otázky</w:t>
      </w:r>
    </w:p>
    <w:p>
      <w:pPr>
        <w:pStyle w:val="ListParagraph"/>
        <w:numPr>
          <w:ilvl w:val="0"/>
          <w:numId w:val="3"/>
        </w:numPr>
        <w:rPr/>
      </w:pPr>
      <w:r>
        <w:rPr/>
        <w:t>Vysvětlete, co říká Nortonova věta, jaký má numerický vztah Nortonův model k Theveninově modelu?</w:t>
      </w:r>
    </w:p>
    <w:p>
      <w:pPr>
        <w:pStyle w:val="ListParagraph"/>
        <w:numPr>
          <w:ilvl w:val="0"/>
          <w:numId w:val="3"/>
        </w:numPr>
        <w:rPr/>
      </w:pPr>
      <w:r>
        <w:rPr/>
        <w:t>Jaké okolnosti ovlivňují věrnost modelů dle Theveninova nebo Nortonova teorému ve vztahu k původním obvodům?</w:t>
      </w:r>
    </w:p>
    <w:p>
      <w:pPr>
        <w:pStyle w:val="ListParagraph"/>
        <w:numPr>
          <w:ilvl w:val="0"/>
          <w:numId w:val="3"/>
        </w:numPr>
        <w:rPr/>
      </w:pPr>
      <w:r>
        <w:rPr/>
        <w:t>Jaké důsledky by mělo použití principu superpozice v nelineárním obvodě? Jakým způsobem se těmto důsledkům bráníme?</w:t>
      </w:r>
    </w:p>
    <w:p>
      <w:pPr>
        <w:pStyle w:val="ListParagraph"/>
        <w:numPr>
          <w:ilvl w:val="0"/>
          <w:numId w:val="3"/>
        </w:numPr>
        <w:rPr/>
      </w:pPr>
      <w:r>
        <w:rPr/>
        <w:t>Jaké metody používáme pro řešení nelineárních obvodů?</w:t>
      </w:r>
    </w:p>
    <w:p>
      <w:pPr>
        <w:pStyle w:val="ListParagraph"/>
        <w:numPr>
          <w:ilvl w:val="0"/>
          <w:numId w:val="3"/>
        </w:numPr>
        <w:rPr/>
      </w:pPr>
      <w:r>
        <w:rPr/>
        <w:t>Srovnejte použitelnost jednotlivých známých metod pro řešení elektrických obvodů.</w:t>
      </w:r>
    </w:p>
    <w:p>
      <w:pPr>
        <w:pStyle w:val="ListParagraph"/>
        <w:numPr>
          <w:ilvl w:val="0"/>
          <w:numId w:val="3"/>
        </w:numPr>
        <w:rPr/>
      </w:pPr>
      <w:r>
        <w:rPr/>
        <w:t>Jmenujte veličiny tvořící analogie mezi elektrostatickým, proudovým a magnetickým polem.</w:t>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Ověření Theveninova teorému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070"/>
        <w:gridCol w:w="3071"/>
        <w:gridCol w:w="3071"/>
      </w:tblGrid>
      <w:tr>
        <w:trPr>
          <w:tblHeader w:val="true"/>
          <w:cantSplit w:val="true"/>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R</w:t>
            </w:r>
            <w:r>
              <w:rPr>
                <w:b/>
                <w:bCs/>
                <w:vertAlign w:val="subscript"/>
              </w:rPr>
              <w:t>z</w:t>
            </w:r>
            <w:r>
              <w:rPr>
                <w:b/>
                <w:bCs/>
              </w:rPr>
              <w:t xml:space="preserve"> </w:t>
            </w:r>
            <w:r>
              <w:rPr>
                <w:b/>
                <w:bCs/>
                <w:lang w:val="de-DE"/>
              </w:rPr>
              <w:t>(k</w:t>
            </w:r>
            <w:r>
              <w:rPr>
                <w:rFonts w:ascii="Symbol" w:hAnsi="Symbol"/>
                <w:b/>
                <w:bCs/>
                <w:lang w:val="de-DE"/>
              </w:rPr>
              <w:t></w:t>
            </w:r>
            <w:r>
              <w:rPr>
                <w:b/>
                <w:bCs/>
                <w:lang w:val="de-DE"/>
              </w:rPr>
              <w:t>)</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původní obvod</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náhradní obvod</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999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bez zátěže</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t>Poznámka: Uvědomte si, co znamená, že obvod pracuje „bez zátěže“!</w:t>
      </w:r>
    </w:p>
    <w:p>
      <w:pPr>
        <w:pStyle w:val="Normal"/>
        <w:jc w:val="center"/>
        <w:rPr/>
      </w:pPr>
      <w:r>
        <w:rPr/>
        <w:t xml:space="preserve">Poznámka: Náhradní obvod byl napájen napětím: </w:t>
      </w:r>
      <w:r>
        <w:rPr>
          <w:i/>
          <w:iCs/>
        </w:rPr>
        <w:t>U</w:t>
      </w:r>
      <w:r>
        <w:rPr>
          <w:vertAlign w:val="subscript"/>
        </w:rPr>
        <w:t>i_skutečné</w:t>
      </w:r>
      <w:r>
        <w:rPr/>
        <w:t xml:space="preserve"> = ………. V.</w:t>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Ověření principu superpozice</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rPr>
              <w:t>Kompletní obvod</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1</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2</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lang w:val="de-DE"/>
              </w:rPr>
            </w:pPr>
            <w:r>
              <w:rPr>
                <w:b/>
                <w:bCs/>
                <w:i/>
                <w:iCs/>
              </w:rPr>
              <w:t>U</w:t>
            </w:r>
            <w:r>
              <w:rPr>
                <w:b/>
                <w:bCs/>
                <w:vertAlign w:val="subscript"/>
              </w:rPr>
              <w:t>AB</w:t>
            </w:r>
            <w:r>
              <w:rPr>
                <w:b/>
                <w:bCs/>
              </w:rPr>
              <w:t xml:space="preserve"> </w:t>
            </w:r>
            <w:r>
              <w:rPr>
                <w:b/>
                <w:bCs/>
                <w:lang w:val="de-DE"/>
              </w:rPr>
              <w:t>(V)</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r>
    </w:tbl>
    <w:p>
      <w:pPr>
        <w:pStyle w:val="Normal"/>
        <w:jc w:val="center"/>
        <w:rPr/>
      </w:pPr>
      <w:r>
        <w:rPr/>
      </w:r>
    </w:p>
    <w:p>
      <w:pPr>
        <w:pStyle w:val="Heading2"/>
        <w:rPr/>
      </w:pPr>
      <w:r>
        <w:rPr/>
        <w:t>Výpočty a odvození</w:t>
      </w:r>
    </w:p>
    <w:p>
      <w:pPr>
        <w:pStyle w:val="Heading3"/>
        <w:rPr/>
      </w:pPr>
      <w:r>
        <w:rPr/>
        <w:t>Ověření Theveninova teorému</w:t>
      </w:r>
    </w:p>
    <w:p>
      <w:pPr>
        <w:pStyle w:val="Normal"/>
        <w:rPr/>
      </w:pPr>
      <w:r>
        <w:rPr/>
        <w:t>Vypočtení parametrů náhradního modelu:</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U</m:t>
          </m:r>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3</m:t>
              </m:r>
            </m:num>
            <m:den>
              <m:r>
                <w:rPr>
                  <w:rFonts w:ascii="Cambria Math" w:hAnsi="Cambria Math"/>
                </w:rPr>
                <m:t xml:space="preserve">6</m:t>
              </m:r>
              <m:r>
                <w:rPr>
                  <w:rFonts w:ascii="Cambria Math" w:hAnsi="Cambria Math"/>
                </w:rPr>
                <m:t xml:space="preserve">+</m:t>
              </m:r>
              <m:r>
                <w:rPr>
                  <w:rFonts w:ascii="Cambria Math" w:hAnsi="Cambria Math"/>
                </w:rPr>
                <m:t xml:space="preserve">3</m:t>
              </m:r>
            </m:den>
          </m:f>
          <m:r>
            <w:rPr>
              <w:rFonts w:ascii="Cambria Math" w:hAnsi="Cambria Math"/>
            </w:rPr>
            <m:t xml:space="preserve">=</m:t>
          </m:r>
          <m:r>
            <w:rPr>
              <w:rFonts w:ascii="Cambria Math" w:hAnsi="Cambria Math"/>
            </w:rPr>
            <m:t xml:space="preserve">0</m:t>
          </m:r>
          <m:r>
            <w:rPr>
              <w:rFonts w:ascii="Cambria Math" w:hAnsi="Cambria Math"/>
            </w:rPr>
            <m:t xml:space="preserve">,</m:t>
          </m:r>
          <m:bar>
            <m:barPr>
              <m:pos m:val="top"/>
            </m:barPr>
            <m:e>
              <m:r>
                <w:rPr>
                  <w:rFonts w:ascii="Cambria Math" w:hAnsi="Cambria Math"/>
                </w:rPr>
                <m:t xml:space="preserve">33</m:t>
              </m:r>
            </m:e>
          </m:bar>
          <m:d>
            <m:dPr>
              <m:begChr m:val="("/>
              <m:endChr m:val=")"/>
            </m:dPr>
            <m:e>
              <m:r>
                <w:rPr>
                  <w:rFonts w:ascii="Cambria Math" w:hAnsi="Cambria Math"/>
                </w:rPr>
                <m:t xml:space="preserve">V</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6</m:t>
              </m:r>
              <m:r>
                <w:rPr>
                  <w:rFonts w:ascii="Cambria Math" w:hAnsi="Cambria Math"/>
                </w:rPr>
                <m:t xml:space="preserve">∗</m:t>
              </m:r>
              <m:r>
                <w:rPr>
                  <w:rFonts w:ascii="Cambria Math" w:hAnsi="Cambria Math"/>
                </w:rPr>
                <m:t xml:space="preserve">3</m:t>
              </m:r>
            </m:num>
            <m:den>
              <m:r>
                <w:rPr>
                  <w:rFonts w:ascii="Cambria Math" w:hAnsi="Cambria Math"/>
                </w:rPr>
                <m:t xml:space="preserve">6</m:t>
              </m:r>
              <m:r>
                <w:rPr>
                  <w:rFonts w:ascii="Cambria Math" w:hAnsi="Cambria Math"/>
                </w:rPr>
                <m:t xml:space="preserve">+</m:t>
              </m:r>
              <m:r>
                <w:rPr>
                  <w:rFonts w:ascii="Cambria Math" w:hAnsi="Cambria Math"/>
                </w:rPr>
                <m:t xml:space="preserve">3</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k</m:t>
              </m:r>
              <m:r>
                <w:rPr>
                  <w:rFonts w:ascii="Cambria Math" w:hAnsi="Cambria Math"/>
                </w:rPr>
                <m:t xml:space="preserve">Ω</m:t>
              </m:r>
            </m:e>
          </m:d>
        </m:oMath>
      </m:oMathPara>
    </w:p>
    <w:p>
      <w:pPr>
        <w:pStyle w:val="Normal"/>
        <w:jc w:val="center"/>
        <w:rPr/>
      </w:pPr>
      <w:r>
        <w:rPr/>
      </w:r>
    </w:p>
    <w:p>
      <w:pPr>
        <w:pStyle w:val="Normal"/>
        <w:rPr/>
      </w:pPr>
      <w:r>
        <w:rPr/>
        <w:t xml:space="preserve">Pro vybranou hodnotu zátěže </w:t>
      </w:r>
      <w:r>
        <w:rPr>
          <w:i/>
          <w:iCs/>
        </w:rPr>
        <w:t>R</w:t>
      </w:r>
      <w:r>
        <w:rPr>
          <w:i/>
          <w:iCs/>
          <w:vertAlign w:val="subscript"/>
        </w:rPr>
        <w:t>z</w:t>
      </w:r>
      <w:r>
        <w:rPr/>
        <w:t xml:space="preserve"> = 20(k</w:t>
      </w:r>
      <w:r>
        <w:rPr>
          <w:rFonts w:ascii="Liberation Serif" w:hAnsi="Liberation Serif"/>
        </w:rPr>
        <w:t>Ω</w:t>
      </w:r>
      <w:r>
        <w:rPr/>
        <w:t>) proveďte kontrolní dosazení a vypočtěte výstupní napětí:</w:t>
      </w:r>
    </w:p>
    <w:p>
      <w:pPr>
        <w:pStyle w:val="ListParagraph"/>
        <w:numPr>
          <w:ilvl w:val="0"/>
          <w:numId w:val="7"/>
        </w:numPr>
        <w:rPr/>
      </w:pPr>
      <w:r>
        <w:rPr/>
        <w:t>pro původní obvod:</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AB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r>
            <w:rPr>
              <w:rFonts w:ascii="Cambria Math" w:hAnsi="Cambria Math"/>
            </w:rPr>
            <m:t xml:space="preserve">∗</m:t>
          </m:r>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pro náhradní obvod:</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AB</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Z</m:t>
                  </m:r>
                </m:sub>
              </m:sSub>
            </m:num>
            <m:den>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en>
          </m:f>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num>
            <m:den>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den>
          </m:f>
          <m:r>
            <w:rPr>
              <w:rFonts w:ascii="Cambria Math" w:hAnsi="Cambria Math"/>
            </w:rPr>
            <m:t xml:space="preserve">∗</m:t>
          </m:r>
          <m:r>
            <w:rPr>
              <w:rFonts w:ascii="Cambria Math" w:hAnsi="Cambria Math"/>
            </w:rPr>
            <m:t xml:space="preserve">0,3333</m:t>
          </m:r>
          <m:r>
            <w:rPr>
              <w:rFonts w:ascii="Cambria Math" w:hAnsi="Cambria Math"/>
            </w:rPr>
            <m:t xml:space="preserve">=</m:t>
          </m:r>
          <m:r>
            <w:rPr>
              <w:rFonts w:ascii="Cambria Math" w:hAnsi="Cambria Math"/>
            </w:rPr>
            <m:t xml:space="preserve">0,2899</m:t>
          </m:r>
          <m:d>
            <m:dPr>
              <m:begChr m:val="("/>
              <m:endChr m:val=")"/>
            </m:dPr>
            <m:e>
              <m:r>
                <w:rPr>
                  <w:rFonts w:ascii="Cambria Math" w:hAnsi="Cambria Math"/>
                </w:rPr>
                <m:t xml:space="preserve">V</m:t>
              </m:r>
            </m:e>
          </m:d>
        </m:oMath>
      </m:oMathPara>
    </w:p>
    <w:p>
      <w:pPr>
        <w:pStyle w:val="Normal"/>
        <w:jc w:val="center"/>
        <w:rPr/>
      </w:pPr>
      <w:r>
        <w:rPr/>
      </w:r>
    </w:p>
    <w:p>
      <w:pPr>
        <w:pStyle w:val="Normal"/>
        <w:jc w:val="center"/>
        <w:rPr/>
      </w:pPr>
      <w:r>
        <w:rPr/>
      </w:r>
    </w:p>
    <w:p>
      <w:pPr>
        <w:pStyle w:val="Heading3"/>
        <w:rPr/>
      </w:pPr>
      <w:r>
        <w:rPr/>
        <w:t>Chyby Theveninova modelu</w:t>
      </w:r>
    </w:p>
    <w:p>
      <w:pPr>
        <w:pStyle w:val="Normal"/>
        <w:rPr/>
      </w:pPr>
      <w:r>
        <w:rPr/>
        <w:t xml:space="preserve">Pro vybranou (stejnou jako výše) hodnotu zátěže </w:t>
      </w:r>
      <w:r>
        <w:rPr>
          <w:i/>
          <w:iCs/>
        </w:rPr>
        <w:t>R</w:t>
      </w:r>
      <w:r>
        <w:rPr>
          <w:i/>
          <w:iCs/>
          <w:vertAlign w:val="subscript"/>
        </w:rPr>
        <w:t>z</w:t>
      </w:r>
      <w:r>
        <w:rPr/>
        <w:t xml:space="preserve"> = ……….(……) proveďte kontrolní dosazení a vypočtěte chybu výstupního napětí:</w:t>
      </w:r>
    </w:p>
    <w:p>
      <w:pPr>
        <w:pStyle w:val="ListParagraph"/>
        <w:numPr>
          <w:ilvl w:val="0"/>
          <w:numId w:val="7"/>
        </w:numPr>
        <w:rPr/>
      </w:pPr>
      <w:r>
        <w:rPr/>
        <w:t>absolutní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d>
            <m:dPr>
              <m:begChr m:val="|"/>
              <m:endChr m:val="|"/>
            </m:dPr>
            <m:e>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nahradni</m:t>
                      </m:r>
                    </m:sub>
                  </m:sSub>
                </m:sub>
              </m:sSub>
              <m:r>
                <w:rPr>
                  <w:rFonts w:ascii="Cambria Math" w:hAnsi="Cambria Math"/>
                </w:rPr>
                <m:t xml:space="preserve">−</m:t>
              </m:r>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ListParagraph"/>
        <w:numPr>
          <w:ilvl w:val="0"/>
          <w:numId w:val="7"/>
        </w:numPr>
        <w:rPr/>
      </w:pPr>
      <w:r>
        <w:rPr/>
        <w:t>relativní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AB</m:t>
                      </m:r>
                    </m:sub>
                  </m:sSub>
                </m:e>
              </m:d>
            </m:num>
            <m:den>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Pro ilustraci také vypočtěte absolutní a relativní chybu napájecího napětí v modelu:</w:t>
      </w:r>
    </w:p>
    <w:p>
      <w:pPr>
        <w:pStyle w:val="ListParagraph"/>
        <w:numPr>
          <w:ilvl w:val="0"/>
          <w:numId w:val="7"/>
        </w:numPr>
        <w:rPr/>
      </w:pPr>
      <w:r>
        <w:rPr/>
        <w:t>absolutní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w:rPr>
                      <w:rFonts w:ascii="Cambria Math" w:hAnsi="Cambria Math"/>
                    </w:rPr>
                    <m:t xml:space="preserve">i</m:t>
                  </m:r>
                </m:sub>
              </m:sSub>
            </m:e>
          </m:d>
          <m:r>
            <w:rPr>
              <w:rFonts w:ascii="Cambria Math" w:hAnsi="Cambria Math"/>
            </w:rPr>
            <m:t xml:space="preserve">=</m:t>
          </m:r>
          <m:d>
            <m:dPr>
              <m:begChr m:val="|"/>
              <m:endChr m:val="|"/>
            </m:dPr>
            <m:e>
              <m:sSub>
                <m:e>
                  <m:r>
                    <w:rPr>
                      <w:rFonts w:ascii="Cambria Math" w:hAnsi="Cambria Math"/>
                    </w:rPr>
                    <m:t xml:space="preserve">U</m:t>
                  </m:r>
                </m:e>
                <m:sub>
                  <m:sSub>
                    <m:e>
                      <m:r>
                        <w:rPr>
                          <w:rFonts w:ascii="Cambria Math" w:hAnsi="Cambria Math"/>
                        </w:rPr>
                        <m:t xml:space="preserve">i</m:t>
                      </m:r>
                    </m:e>
                    <m:sub>
                      <m:r>
                        <m:rPr>
                          <m:lit/>
                          <m:nor/>
                        </m:rPr>
                        <w:rPr>
                          <w:rFonts w:ascii="Cambria Math" w:hAnsi="Cambria Math"/>
                        </w:rPr>
                        <m:t xml:space="preserve">skutecne</m:t>
                      </m:r>
                    </m:sub>
                  </m:sSub>
                </m:sub>
              </m:sSub>
              <m:r>
                <w:rPr>
                  <w:rFonts w:ascii="Cambria Math" w:hAnsi="Cambria Math"/>
                </w:rPr>
                <m:t xml:space="preserve">−</m:t>
              </m:r>
              <m:sSub>
                <m:e>
                  <m:r>
                    <w:rPr>
                      <w:rFonts w:ascii="Cambria Math" w:hAnsi="Cambria Math"/>
                    </w:rPr>
                    <m:t xml:space="preserve">U</m:t>
                  </m:r>
                </m:e>
                <m:sub>
                  <m:sSub>
                    <m:e>
                      <m:r>
                        <w:rPr>
                          <w:rFonts w:ascii="Cambria Math" w:hAnsi="Cambria Math"/>
                        </w:rPr>
                        <m:t xml:space="preserve">i</m:t>
                      </m:r>
                    </m:e>
                    <m:sub>
                      <m:r>
                        <m:rPr>
                          <m:lit/>
                          <m:nor/>
                        </m:rPr>
                        <w:rPr>
                          <w:rFonts w:ascii="Cambria Math" w:hAnsi="Cambria Math"/>
                        </w:rPr>
                        <m:t xml:space="preserve">vypoctene</m:t>
                      </m:r>
                    </m:sub>
                  </m:sSub>
                </m:sub>
              </m:sSub>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ListParagraph"/>
        <w:numPr>
          <w:ilvl w:val="0"/>
          <w:numId w:val="7"/>
        </w:numPr>
        <w:rPr/>
      </w:pPr>
      <w:r>
        <w:rPr/>
        <w:t>relativní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w:rPr>
                      <w:rFonts w:ascii="Cambria Math" w:hAnsi="Cambria Math"/>
                    </w:rPr>
                    <m:t xml:space="preserve">i</m:t>
                  </m:r>
                </m:sub>
              </m:sSub>
            </m:e>
          </m:d>
          <m:r>
            <w:rPr>
              <w:rFonts w:ascii="Cambria Math" w:hAnsi="Cambria Math"/>
            </w:rPr>
            <m:t xml:space="preserve">=</m:t>
          </m:r>
          <m:f>
            <m:num>
              <m:d>
                <m:dPr>
                  <m:begChr m:val="|"/>
                  <m:endChr m:val="|"/>
                </m:dPr>
                <m:e>
                  <m:sSub>
                    <m:e>
                      <m:r>
                        <w:rPr>
                          <w:rFonts w:ascii="Cambria Math" w:hAnsi="Cambria Math"/>
                        </w:rPr>
                        <m:t xml:space="preserve">ΔU</m:t>
                      </m:r>
                    </m:e>
                    <m:sub>
                      <m:r>
                        <w:rPr>
                          <w:rFonts w:ascii="Cambria Math" w:hAnsi="Cambria Math"/>
                        </w:rPr>
                        <m:t xml:space="preserve">i</m:t>
                      </m:r>
                    </m:sub>
                  </m:sSub>
                </m:e>
              </m:d>
            </m:num>
            <m:den>
              <m:sSub>
                <m:e>
                  <m:r>
                    <w:rPr>
                      <w:rFonts w:ascii="Cambria Math" w:hAnsi="Cambria Math"/>
                    </w:rPr>
                    <m:t xml:space="preserve">U</m:t>
                  </m:r>
                </m:e>
                <m:sub>
                  <m:sSub>
                    <m:e>
                      <m:r>
                        <w:rPr>
                          <w:rFonts w:ascii="Cambria Math" w:hAnsi="Cambria Math"/>
                        </w:rPr>
                        <m:t xml:space="preserve">i</m:t>
                      </m:r>
                    </m:e>
                    <m:sub>
                      <m:r>
                        <m:rPr>
                          <m:lit/>
                          <m:nor/>
                        </m:rPr>
                        <w:rPr>
                          <w:rFonts w:ascii="Cambria Math" w:hAnsi="Cambria Math"/>
                        </w:rPr>
                        <m:t xml:space="preserve">skutecne</m:t>
                      </m:r>
                    </m:sub>
                  </m:sSub>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Heading3"/>
        <w:rPr/>
      </w:pPr>
      <w:r>
        <w:rPr/>
        <w:t>Ověření principu superpozice</w:t>
      </w:r>
    </w:p>
    <w:p>
      <w:pPr>
        <w:pStyle w:val="ListParagraph"/>
        <w:numPr>
          <w:ilvl w:val="0"/>
          <w:numId w:val="7"/>
        </w:numPr>
        <w:rPr/>
      </w:pPr>
      <w:r>
        <w:rPr/>
        <w:t>dílčí obvod - zdroj U</w:t>
      </w:r>
      <w:r>
        <w:rPr>
          <w:vertAlign w:val="subscript"/>
        </w:rPr>
        <w:t>2</w:t>
      </w:r>
      <w:r>
        <w:rPr/>
        <w:t xml:space="preserve"> nahrazen zkratem:</w:t>
      </w:r>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sSub>
                <m:e>
                  <m:r>
                    <m:rPr>
                      <m:lit/>
                      <m:nor/>
                    </m:rPr>
                    <w:rPr>
                      <w:rFonts w:ascii="Cambria Math" w:hAnsi="Cambria Math"/>
                    </w:rPr>
                    <m:t xml:space="preserve">AB</m:t>
                  </m:r>
                </m:e>
                <m:sub>
                  <m:r>
                    <w:rPr>
                      <w:rFonts w:ascii="Cambria Math" w:hAnsi="Cambria Math"/>
                    </w:rPr>
                    <m:t xml:space="preserve">1</m:t>
                  </m:r>
                </m:sub>
              </m:sSub>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ListParagraph"/>
        <w:numPr>
          <w:ilvl w:val="0"/>
          <w:numId w:val="7"/>
        </w:numPr>
        <w:rPr/>
      </w:pPr>
      <w:r>
        <w:rPr/>
        <w:t>dílčí obvod - zdroj U</w:t>
      </w:r>
      <w:r>
        <w:rPr>
          <w:vertAlign w:val="subscript"/>
        </w:rPr>
        <w:t>1</w:t>
      </w:r>
      <w:r>
        <w:rPr/>
        <w:t xml:space="preserve"> nahrazen zkratem:</w:t>
      </w:r>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sSub>
                <m:e>
                  <m:r>
                    <m:rPr>
                      <m:lit/>
                      <m:nor/>
                    </m:rPr>
                    <w:rPr>
                      <w:rFonts w:ascii="Cambria Math" w:hAnsi="Cambria Math"/>
                    </w:rPr>
                    <m:t xml:space="preserve">AB</m:t>
                  </m:r>
                </m:e>
                <m:sub>
                  <m:r>
                    <w:rPr>
                      <w:rFonts w:ascii="Cambria Math" w:hAnsi="Cambria Math"/>
                    </w:rPr>
                    <m:t xml:space="preserve">2</m:t>
                  </m:r>
                </m:sub>
              </m:sSub>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ListParagraph"/>
        <w:numPr>
          <w:ilvl w:val="0"/>
          <w:numId w:val="7"/>
        </w:numPr>
        <w:rPr/>
      </w:pPr>
      <w:r>
        <w:rPr/>
        <w:t>kompletní obvod:</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kompletni</m:t>
                  </m:r>
                </m:sub>
              </m:sSub>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w:p>
    <w:p>
      <w:pPr>
        <w:pStyle w:val="Heading3"/>
        <w:rPr/>
      </w:pPr>
      <w:r>
        <w:rPr/>
        <w:t>Chyby modelu superpozicí</w:t>
      </w:r>
    </w:p>
    <w:p>
      <w:pPr>
        <w:pStyle w:val="ListParagraph"/>
        <w:numPr>
          <w:ilvl w:val="0"/>
          <w:numId w:val="7"/>
        </w:numPr>
        <w:rPr/>
      </w:pPr>
      <w:r>
        <w:rPr/>
        <w:t>absolutní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d>
            <m:dPr>
              <m:begChr m:val="|"/>
              <m:endChr m:val="|"/>
            </m:dPr>
            <m:e>
              <m:sSub>
                <m:e>
                  <m:r>
                    <w:rPr>
                      <w:rFonts w:ascii="Cambria Math" w:hAnsi="Cambria Math"/>
                    </w:rPr>
                    <m:t xml:space="preserve">ΔU</m:t>
                  </m:r>
                </m:e>
                <m:sub>
                  <m:sSub>
                    <m:e>
                      <m:r>
                        <m:rPr>
                          <m:lit/>
                          <m:nor/>
                        </m:rPr>
                        <w:rPr>
                          <w:rFonts w:ascii="Cambria Math" w:hAnsi="Cambria Math"/>
                        </w:rPr>
                        <m:t xml:space="preserve">AB</m:t>
                      </m:r>
                    </m:e>
                    <m:sub>
                      <m:r>
                        <w:rPr>
                          <w:rFonts w:ascii="Cambria Math" w:hAnsi="Cambria Math"/>
                        </w:rPr>
                        <m:t xml:space="preserve">1</m:t>
                      </m:r>
                    </m:sub>
                  </m:sSub>
                </m:sub>
              </m:sSub>
            </m:e>
          </m:d>
          <m:r>
            <w:rPr>
              <w:rFonts w:ascii="Cambria Math" w:hAnsi="Cambria Math"/>
            </w:rPr>
            <m:t xml:space="preserve">+</m:t>
          </m:r>
          <m:d>
            <m:dPr>
              <m:begChr m:val="|"/>
              <m:endChr m:val="|"/>
            </m:dPr>
            <m:e>
              <m:sSub>
                <m:e>
                  <m:r>
                    <w:rPr>
                      <w:rFonts w:ascii="Cambria Math" w:hAnsi="Cambria Math"/>
                    </w:rPr>
                    <m:t xml:space="preserve">ΔU</m:t>
                  </m:r>
                </m:e>
                <m:sub>
                  <m:sSub>
                    <m:e>
                      <m:r>
                        <m:rPr>
                          <m:lit/>
                          <m:nor/>
                        </m:rPr>
                        <w:rPr>
                          <w:rFonts w:ascii="Cambria Math" w:hAnsi="Cambria Math"/>
                        </w:rPr>
                        <m:t xml:space="preserve">AB</m:t>
                      </m:r>
                    </m:e>
                    <m:sub>
                      <m:r>
                        <w:rPr>
                          <w:rFonts w:ascii="Cambria Math" w:hAnsi="Cambria Math"/>
                        </w:rPr>
                        <m:t xml:space="preserve">2</m:t>
                      </m:r>
                    </m:sub>
                  </m:sSub>
                </m:sub>
              </m:sSub>
            </m:e>
          </m:d>
          <m:r>
            <w:rPr>
              <w:rFonts w:ascii="Cambria Math" w:hAnsi="Cambria Math"/>
            </w:rPr>
            <m:t xml:space="preserve">+</m:t>
          </m:r>
          <m:d>
            <m:dPr>
              <m:begChr m:val="|"/>
              <m:endChr m:val="|"/>
            </m:dPr>
            <m:e>
              <m:sSub>
                <m:e>
                  <m:r>
                    <w:rPr>
                      <w:rFonts w:ascii="Cambria Math" w:hAnsi="Cambria Math"/>
                    </w:rPr>
                    <m:t xml:space="preserve">ΔU</m:t>
                  </m:r>
                </m:e>
                <m:sub>
                  <m:sSub>
                    <m:e>
                      <m:r>
                        <m:rPr>
                          <m:lit/>
                          <m:nor/>
                        </m:rPr>
                        <w:rPr>
                          <w:rFonts w:ascii="Cambria Math" w:hAnsi="Cambria Math"/>
                        </w:rPr>
                        <m:t xml:space="preserve">AB</m:t>
                      </m:r>
                    </m:e>
                    <m:sub>
                      <m:r>
                        <m:rPr>
                          <m:lit/>
                          <m:nor/>
                        </m:rPr>
                        <w:rPr>
                          <w:rFonts w:ascii="Cambria Math" w:hAnsi="Cambria Math"/>
                        </w:rPr>
                        <m:t xml:space="preserve">kompletní</m:t>
                      </m:r>
                    </m:sub>
                  </m:sSub>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ListParagraph"/>
        <w:numPr>
          <w:ilvl w:val="0"/>
          <w:numId w:val="7"/>
        </w:numPr>
        <w:rPr/>
      </w:pPr>
      <w:r>
        <w:rPr/>
        <w:t>relativní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AB</m:t>
                      </m:r>
                    </m:sub>
                  </m:sSub>
                </m:e>
              </m:d>
            </m:num>
            <m:den>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kompletni</m:t>
                      </m:r>
                    </m:sub>
                  </m:sSub>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Ověření Theveninova teorému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070"/>
        <w:gridCol w:w="3071"/>
        <w:gridCol w:w="3071"/>
      </w:tblGrid>
      <w:tr>
        <w:trPr>
          <w:tblHeader w:val="true"/>
          <w:cantSplit w:val="true"/>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R</w:t>
            </w:r>
            <w:r>
              <w:rPr>
                <w:b/>
                <w:bCs/>
                <w:vertAlign w:val="subscript"/>
              </w:rPr>
              <w:t>z</w:t>
            </w:r>
            <w:r>
              <w:rPr>
                <w:b/>
                <w:bCs/>
              </w:rPr>
              <w:t xml:space="preserve"> </w:t>
            </w:r>
            <w:r>
              <w:rPr>
                <w:b/>
                <w:bCs/>
                <w:lang w:val="de-DE"/>
              </w:rPr>
              <w:t>(k</w:t>
            </w:r>
            <w:r>
              <w:rPr>
                <w:rFonts w:ascii="Symbol" w:hAnsi="Symbol"/>
                <w:b/>
                <w:bCs/>
                <w:lang w:val="de-DE"/>
              </w:rPr>
              <w:t></w:t>
            </w:r>
            <w:r>
              <w:rPr>
                <w:b/>
                <w:bCs/>
                <w:lang w:val="de-DE"/>
              </w:rPr>
              <w:t>)</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původní obvod</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náhradní obvod</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0,2564</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0,2899</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0,3145</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0,3236</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999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bez zátěže</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0,0000</w:t>
            </w:r>
          </w:p>
        </w:tc>
      </w:tr>
    </w:tbl>
    <w:p>
      <w:pPr>
        <w:pStyle w:val="Normal"/>
        <w:jc w:val="center"/>
        <w:rPr/>
      </w:pPr>
      <w:r>
        <w:rPr/>
        <w:t>Poznámka: Uvědomte si, co znamená, že obvod pracuje „bez zátěže“!</w:t>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Ověření principu superpozice</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rPr>
              <w:t>Kompletní obvod</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1</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2</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lang w:val="de-DE"/>
              </w:rPr>
            </w:pPr>
            <w:r>
              <w:rPr>
                <w:b/>
                <w:bCs/>
                <w:i/>
                <w:iCs/>
              </w:rPr>
              <w:t>U</w:t>
            </w:r>
            <w:r>
              <w:rPr>
                <w:b/>
                <w:bCs/>
                <w:vertAlign w:val="subscript"/>
              </w:rPr>
              <w:t>AB</w:t>
            </w:r>
            <w:r>
              <w:rPr>
                <w:b/>
                <w:bCs/>
              </w:rPr>
              <w:t xml:space="preserve"> </w:t>
            </w:r>
            <w:r>
              <w:rPr>
                <w:b/>
                <w:bCs/>
                <w:lang w:val="de-DE"/>
              </w:rPr>
              <w:t>(V)</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0,625</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Absolutní a relativní chyba realizovaného Theveninova modelu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070"/>
        <w:gridCol w:w="3071"/>
        <w:gridCol w:w="3071"/>
      </w:tblGrid>
      <w:tr>
        <w:trPr>
          <w:tblHeader w:val="true"/>
          <w:cantSplit w:val="true"/>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R</w:t>
            </w:r>
            <w:r>
              <w:rPr>
                <w:b/>
                <w:bCs/>
                <w:vertAlign w:val="subscript"/>
              </w:rPr>
              <w:t>z</w:t>
            </w:r>
            <w:r>
              <w:rPr>
                <w:b/>
                <w:bCs/>
              </w:rPr>
              <w:t xml:space="preserve"> (k</w:t>
            </w:r>
            <w:r>
              <w:rPr>
                <w:rFonts w:ascii="Symbol" w:hAnsi="Symbol"/>
                <w:b/>
                <w:bCs/>
              </w:rPr>
              <w:t></w:t>
            </w:r>
            <w:r>
              <w:rPr>
                <w:b/>
                <w:bCs/>
              </w:rPr>
              <w:t>)</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U</w:t>
            </w:r>
            <w:r>
              <w:rPr>
                <w:b/>
                <w:bCs/>
                <w:vertAlign w:val="subscript"/>
              </w:rPr>
              <w:t>AB</w:t>
            </w:r>
            <w:r>
              <w:rPr>
                <w:b/>
                <w:bCs/>
              </w:rPr>
              <w:t xml:space="preserve"> (mV)</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U</w:t>
            </w:r>
            <w:r>
              <w:rPr>
                <w:b/>
                <w:bCs/>
                <w:vertAlign w:val="subscript"/>
              </w:rPr>
              <w:t>AB</w:t>
            </w:r>
            <w:r>
              <w:rPr>
                <w:b/>
                <w:bCs/>
              </w:rPr>
              <w:t xml:space="preserve"> (……)</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999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bez zátěže</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Absolutní a relativní chyba realizace metody superpozice</w:t>
      </w:r>
    </w:p>
    <w:tbl>
      <w:tblPr>
        <w:tblW w:w="43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2220"/>
        <w:gridCol w:w="2079"/>
      </w:tblGrid>
      <w:tr>
        <w:trPr>
          <w:trHeight w:val="345" w:hRule="atLeast"/>
        </w:trPr>
        <w:tc>
          <w:tcPr>
            <w:tcW w:w="2220"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Symbol" w:hAnsi="Symbol"/>
                <w:b/>
                <w:bCs/>
              </w:rPr>
            </w:pPr>
            <w:r>
              <w:rPr>
                <w:rFonts w:ascii="Symbol" w:hAnsi="Symbol"/>
                <w:b/>
                <w:bCs/>
              </w:rPr>
              <w:t></w:t>
            </w:r>
            <w:r>
              <w:rPr>
                <w:b/>
                <w:bCs/>
              </w:rPr>
              <w:t>U</w:t>
            </w:r>
            <w:r>
              <w:rPr>
                <w:b/>
                <w:bCs/>
                <w:vertAlign w:val="subscript"/>
              </w:rPr>
              <w:t>AB</w:t>
            </w:r>
            <w:r>
              <w:rPr>
                <w:b/>
                <w:bCs/>
              </w:rPr>
              <w:t xml:space="preserve"> (mV)</w:t>
            </w:r>
          </w:p>
        </w:tc>
        <w:tc>
          <w:tcPr>
            <w:tcW w:w="2079" w:type="dxa"/>
            <w:tcBorders>
              <w:top w:val="single" w:sz="12" w:space="0" w:color="000000"/>
              <w:bottom w:val="single" w:sz="12" w:space="0" w:color="000000"/>
              <w:right w:val="single" w:sz="12" w:space="0" w:color="000000"/>
            </w:tcBorders>
          </w:tcPr>
          <w:p>
            <w:pPr>
              <w:pStyle w:val="Normal"/>
              <w:spacing w:before="0" w:after="0"/>
              <w:jc w:val="center"/>
              <w:rPr>
                <w:rFonts w:ascii="Symbol" w:hAnsi="Symbol"/>
                <w:b/>
                <w:bCs/>
              </w:rPr>
            </w:pPr>
            <w:r>
              <w:rPr>
                <w:rFonts w:ascii="Symbol" w:hAnsi="Symbol"/>
                <w:b/>
                <w:bCs/>
              </w:rPr>
              <w:t></w:t>
            </w:r>
            <w:r>
              <w:rPr>
                <w:b/>
                <w:bCs/>
              </w:rPr>
              <w:t>U</w:t>
            </w:r>
            <w:r>
              <w:rPr>
                <w:b/>
                <w:bCs/>
                <w:vertAlign w:val="subscript"/>
              </w:rPr>
              <w:t>AB</w:t>
            </w:r>
            <w:r>
              <w:rPr>
                <w:b/>
                <w:bCs/>
              </w:rPr>
              <w:t xml:space="preserve"> (……)</w:t>
            </w:r>
          </w:p>
        </w:tc>
      </w:tr>
      <w:tr>
        <w:trPr>
          <w:trHeight w:val="345" w:hRule="atLeast"/>
        </w:trPr>
        <w:tc>
          <w:tcPr>
            <w:tcW w:w="2220" w:type="dxa"/>
            <w:tcBorders>
              <w:left w:val="single" w:sz="12" w:space="0" w:color="000000"/>
              <w:bottom w:val="single" w:sz="12" w:space="0" w:color="000000"/>
              <w:right w:val="single" w:sz="12" w:space="0" w:color="000000"/>
            </w:tcBorders>
          </w:tcPr>
          <w:p>
            <w:pPr>
              <w:pStyle w:val="Normal"/>
              <w:spacing w:before="0" w:after="0"/>
              <w:jc w:val="center"/>
              <w:rPr/>
            </w:pPr>
            <w:r>
              <w:rPr/>
            </w:r>
          </w:p>
        </w:tc>
        <w:tc>
          <w:tcPr>
            <w:tcW w:w="2079" w:type="dxa"/>
            <w:tcBorders>
              <w:bottom w:val="single" w:sz="12" w:space="0" w:color="000000"/>
              <w:right w:val="single" w:sz="12" w:space="0" w:color="000000"/>
            </w:tcBorders>
          </w:tcPr>
          <w:p>
            <w:pPr>
              <w:pStyle w:val="Normal"/>
              <w:spacing w:before="0" w:after="0"/>
              <w:jc w:val="center"/>
              <w:rPr/>
            </w:pPr>
            <w:r>
              <w:rPr/>
            </w:r>
          </w:p>
        </w:tc>
      </w:tr>
    </w:tbl>
    <w:p>
      <w:pPr>
        <w:pStyle w:val="Normal"/>
        <w:jc w:val="center"/>
        <w:rPr/>
      </w:pPr>
      <w:r>
        <w:rPr/>
      </w:r>
    </w:p>
    <w:p>
      <w:pPr>
        <w:pStyle w:val="Heading2"/>
        <w:rPr/>
      </w:pPr>
      <w:r>
        <w:rPr/>
        <w:t>Grafické závislosti</w:t>
      </w:r>
    </w:p>
    <w:p>
      <w:pPr>
        <w:pStyle w:val="Normal"/>
        <w:keepNext w:val="true"/>
        <w:jc w:val="center"/>
        <w:rPr/>
      </w:pPr>
      <w:r>
        <w:rPr/>
        <w:drawing>
          <wp:inline distT="0" distB="0" distL="0" distR="0">
            <wp:extent cx="5760720" cy="3562985"/>
            <wp:effectExtent l="0" t="0" r="0" b="0"/>
            <wp:docPr id="3" name="Obrázek 0" descr="rastr_Theve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0" descr="rastr_Thevenin.png"/>
                    <pic:cNvPicPr>
                      <a:picLocks noChangeAspect="1" noChangeArrowheads="1"/>
                    </pic:cNvPicPr>
                  </pic:nvPicPr>
                  <pic:blipFill>
                    <a:blip r:embed="rId4"/>
                    <a:stretch>
                      <a:fillRect/>
                    </a:stretch>
                  </pic:blipFill>
                  <pic:spPr bwMode="auto">
                    <a:xfrm>
                      <a:off x="0" y="0"/>
                      <a:ext cx="5760720" cy="356298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Závislost svorkového napětí na hodnotě zatěžovacího odporu</w:t>
      </w:r>
    </w:p>
    <w:p>
      <w:pPr>
        <w:pStyle w:val="Normal"/>
        <w:jc w:val="center"/>
        <w:rPr/>
      </w:pPr>
      <w:r>
        <w:rPr/>
      </w:r>
    </w:p>
    <w:p>
      <w:pPr>
        <w:pStyle w:val="Normal"/>
        <w:keepNext w:val="true"/>
        <w:jc w:val="center"/>
        <w:rPr/>
      </w:pPr>
      <w:r>
        <w:rPr/>
        <w:drawing>
          <wp:inline distT="0" distB="0" distL="0" distR="0">
            <wp:extent cx="5760720" cy="3562985"/>
            <wp:effectExtent l="0" t="0" r="0" b="0"/>
            <wp:docPr id="4" name="Obrázek 1" descr="rastr_chyby_Theve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 descr="rastr_chyby_Thevenin.png"/>
                    <pic:cNvPicPr>
                      <a:picLocks noChangeAspect="1" noChangeArrowheads="1"/>
                    </pic:cNvPicPr>
                  </pic:nvPicPr>
                  <pic:blipFill>
                    <a:blip r:embed="rId5"/>
                    <a:stretch>
                      <a:fillRect/>
                    </a:stretch>
                  </pic:blipFill>
                  <pic:spPr bwMode="auto">
                    <a:xfrm>
                      <a:off x="0" y="0"/>
                      <a:ext cx="5760720" cy="356298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Chyby Theveninova modelu</w:t>
      </w:r>
    </w:p>
    <w:p>
      <w:pPr>
        <w:pStyle w:val="Normal"/>
        <w:jc w:val="center"/>
        <w:rPr/>
      </w:pPr>
      <w:r>
        <w:rPr/>
      </w:r>
    </w:p>
    <w:p>
      <w:pPr>
        <w:pStyle w:val="Heading2"/>
        <w:rPr/>
      </w:pPr>
      <w:r>
        <w:rPr/>
        <w:t>Odpovědi na otázky</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Heading2"/>
        <w:rPr/>
      </w:pPr>
      <w:r>
        <w:rPr/>
        <w:t>Závěr</w:t>
      </w:r>
    </w:p>
    <w:p>
      <w:pPr>
        <w:pStyle w:val="Normal"/>
        <w:rPr/>
      </w:pPr>
      <w:r>
        <w:rPr/>
        <w:t>……………………………………………………………………………………………………………………………………………………………………………………………………………………………………………………………………………………………………………………………………………………………………………………………………………………………………………………………………………………………………………………………………………………………………………………………………………………………………………………………………………………………………………………………………………………………………………………………………………………………………………………………………………………………………………………………………………………………………………………………………………………………………………………………………………………………………………………………………………………………………………………………………………………………………………………………………………………………………………………………………………………………………………………………………………………………………………………………………………………………………………………………………………………………………………………………………………………………………</w:t>
      </w:r>
    </w:p>
    <w:p>
      <w:pPr>
        <w:pStyle w:val="Normal"/>
        <w:rPr/>
      </w:pPr>
      <w:r>
        <w:rPr/>
      </w:r>
    </w:p>
    <w:p>
      <w:pPr>
        <w:pStyle w:val="Heading2"/>
        <w:rPr/>
      </w:pPr>
      <w:r>
        <w:rPr/>
        <w:t>Informační prameny použité pro zpracování protokolu</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4"/>
        <w:gridCol w:w="6837"/>
      </w:tblGrid>
      <w:tr>
        <w:trPr>
          <w:trHeight w:val="529" w:hRule="atLeast"/>
        </w:trPr>
        <w:tc>
          <w:tcPr>
            <w:tcW w:w="2374"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7"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r>
          </w:p>
        </w:tc>
      </w:tr>
      <w:tr>
        <w:trPr>
          <w:trHeight w:val="656" w:hRule="atLeast"/>
          <w:cantSplit w:val="true"/>
        </w:trPr>
        <w:tc>
          <w:tcPr>
            <w:tcW w:w="2374"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7"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4"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7"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1"/>
        <w:gridCol w:w="1843"/>
        <w:gridCol w:w="1733"/>
        <w:gridCol w:w="1842"/>
        <w:gridCol w:w="1843"/>
      </w:tblGrid>
      <w:tr>
        <w:trPr/>
        <w:tc>
          <w:tcPr>
            <w:tcW w:w="1951"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73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00988</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 10</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331/2020</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Diskrétní prvky</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rezistory 1K + 5K</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sz w:val="20"/>
                <w:szCs w:val="20"/>
              </w:rPr>
            </w:pPr>
            <w:r>
              <w:rPr>
                <w:rFonts w:eastAsia="Calibri" w:cs=""/>
                <w:kern w:val="0"/>
                <w:sz w:val="20"/>
                <w:szCs w:val="20"/>
                <w:lang w:val="cs-CZ" w:eastAsia="en-US" w:bidi="ar-SA"/>
              </w:rPr>
              <w:t>Program. DC Suply</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330/2020</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sz w:val="20"/>
                <w:szCs w:val="20"/>
              </w:rPr>
            </w:pPr>
            <w:r>
              <w:rPr>
                <w:rFonts w:eastAsia="Calibri" w:cs=""/>
                <w:kern w:val="0"/>
                <w:sz w:val="20"/>
                <w:szCs w:val="20"/>
                <w:lang w:val="cs-CZ" w:eastAsia="en-US" w:bidi="ar-SA"/>
              </w:rPr>
              <w:t>Component Board</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p>
      <w:pPr>
        <w:pStyle w:val="Normal"/>
        <w:rPr/>
      </w:pPr>
      <w:r>
        <w:rPr/>
      </w:r>
    </w:p>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Normal"/>
        <w:rPr/>
      </w:pPr>
      <w:r>
        <w:rPr/>
        <w:t>Zde proveďte odvození potřebných výpočtů:</w:t>
      </w:r>
    </w:p>
    <w:p>
      <w:pPr>
        <w:pStyle w:val="Heading3"/>
        <w:rPr/>
      </w:pPr>
      <w:r>
        <w:rPr/>
        <w:t>Ověření Theveninovy věty</w:t>
      </w:r>
    </w:p>
    <w:p>
      <w:pPr>
        <w:pStyle w:val="Normal"/>
        <w:rPr/>
      </w:pPr>
      <w:r>
        <w:rPr/>
        <w:t>Odvození výstupního napětí původního obvodu: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Ověření principu superpozice</w:t>
      </w:r>
    </w:p>
    <w:p>
      <w:pPr>
        <w:pStyle w:val="Normal"/>
        <w:rPr/>
      </w:pPr>
      <w:r>
        <w:rPr/>
        <w:t>Odvození svorkových napětí:</w:t>
      </w:r>
    </w:p>
    <w:p>
      <w:pPr>
        <w:pStyle w:val="ListParagraph"/>
        <w:numPr>
          <w:ilvl w:val="0"/>
          <w:numId w:val="7"/>
        </w:numPr>
        <w:rPr/>
      </w:pPr>
      <w:r>
        <w:rPr/>
        <w:t>dílčí obvod - zdroj U</w:t>
      </w:r>
      <w:r>
        <w:rPr>
          <w:vertAlign w:val="subscript"/>
        </w:rPr>
        <w:t>2</w:t>
      </w:r>
      <w:r>
        <w:rPr/>
        <w:t xml:space="preserve"> nahrazen zkratem: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7"/>
        </w:numPr>
        <w:rPr/>
      </w:pPr>
      <w:r>
        <w:rPr/>
        <w:t>dílčí obvod - zdroj U</w:t>
      </w:r>
      <w:r>
        <w:rPr>
          <w:vertAlign w:val="subscript"/>
        </w:rPr>
        <w:t>1</w:t>
      </w:r>
      <w:r>
        <w:rPr/>
        <w:t xml:space="preserve"> nahrazen zkratem: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7"/>
        </w:numPr>
        <w:rPr/>
      </w:pPr>
      <w:r>
        <w:rPr/>
        <w:t>kompletní obvod: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00"/>
        <w:rPr/>
      </w:pPr>
      <w:r>
        <w:rPr/>
      </w:r>
    </w:p>
    <w:sectPr>
      <w:headerReference w:type="default" r:id="rId6"/>
      <w:footerReference w:type="default" r:id="rId7"/>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7"/>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Znakyprovysvtlivky">
    <w:name w:val="Znaky pro vysvětlivky"/>
    <w:qForma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1DA623-2C1A-45B7-AC92-BDAAD0FDCC21}"/>
</file>

<file path=customXml/itemProps2.xml><?xml version="1.0" encoding="utf-8"?>
<ds:datastoreItem xmlns:ds="http://schemas.openxmlformats.org/officeDocument/2006/customXml" ds:itemID="{59FC0DCE-49E5-4933-A0BA-60BE13638116}">
  <ds:schemaRefs>
    <ds:schemaRef ds:uri="http://schemas.openxmlformats.org/officeDocument/2006/bibliography"/>
  </ds:schemaRefs>
</ds:datastoreItem>
</file>

<file path=customXml/itemProps3.xml><?xml version="1.0" encoding="utf-8"?>
<ds:datastoreItem xmlns:ds="http://schemas.openxmlformats.org/officeDocument/2006/customXml" ds:itemID="{A66D34DD-5657-4D18-8113-BFEC6FE936D6}"/>
</file>

<file path=customXml/itemProps4.xml><?xml version="1.0" encoding="utf-8"?>
<ds:datastoreItem xmlns:ds="http://schemas.openxmlformats.org/officeDocument/2006/customXml" ds:itemID="{F2DC42E4-B959-44C6-A5CA-247E43923A5D}"/>
</file>

<file path=docProps/app.xml><?xml version="1.0" encoding="utf-8"?>
<Properties xmlns="http://schemas.openxmlformats.org/officeDocument/2006/extended-properties" xmlns:vt="http://schemas.openxmlformats.org/officeDocument/2006/docPropsVTypes">
  <Template>sablona_lab_cv_2012</Template>
  <TotalTime>202</TotalTime>
  <Application>LibreOffice/7.6.6.3$Linux_X86_64 LibreOffice_project/60$Build-3</Application>
  <AppVersion>15.0000</AppVersion>
  <Pages>11</Pages>
  <Words>1241</Words>
  <Characters>9289</Characters>
  <CharactersWithSpaces>10237</CharactersWithSpaces>
  <Paragraphs>261</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2021-10-18T11:06:00Z</dcterms:created>
  <dc:creator>pietschmann</dc:creator>
  <dc:description/>
  <dc:language>cs-CZ</dc:language>
  <cp:lastModifiedBy>Vojtěch Vašek</cp:lastModifiedBy>
  <dcterms:modified xsi:type="dcterms:W3CDTF">2024-04-15T09:16:17Z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