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1.xml" ContentType="application/vnd.openxmlformats-officedocument.wordprocessingml.header+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adpis1"/>
        <w:keepNext w:val="true"/>
        <w:keepLines/>
        <w:spacing w:before="480" w:after="0"/>
        <w:rPr/>
      </w:pPr>
      <w:r>
        <w:rPr/>
        <w:t>Vlastnosti a použití operačních zesilovačů</w:t>
      </w:r>
    </w:p>
    <w:p>
      <w:pPr>
        <w:pStyle w:val="Normal"/>
        <w:rPr/>
      </w:pPr>
      <w:r>
        <w:rPr/>
      </w:r>
    </w:p>
    <w:p>
      <w:pPr>
        <w:pStyle w:val="Nadpis2"/>
        <w:rPr/>
      </w:pPr>
      <w:r>
        <w:rPr/>
        <w:t>Úkol měření</w:t>
      </w:r>
    </w:p>
    <w:p>
      <w:pPr>
        <w:pStyle w:val="ListParagraph"/>
        <w:numPr>
          <w:ilvl w:val="0"/>
          <w:numId w:val="1"/>
        </w:numPr>
        <w:rPr/>
      </w:pPr>
      <w:r>
        <w:rPr/>
        <w:t>V rámci domácí přípravy si nastudujte vlastnosti operačního zesilovače a jeho základních zapojení.</w:t>
      </w:r>
    </w:p>
    <w:p>
      <w:pPr>
        <w:pStyle w:val="ListParagraph"/>
        <w:numPr>
          <w:ilvl w:val="0"/>
          <w:numId w:val="1"/>
        </w:numPr>
        <w:rPr/>
      </w:pPr>
      <w:r>
        <w:rPr/>
        <w:t>Změřte základní parametry invertujícího operačního zesilovače v různých realizacích (změřte vstupní a výstupní odpor, ověřte metodu kompenzace klidových vstupních proudů).</w:t>
      </w:r>
    </w:p>
    <w:p>
      <w:pPr>
        <w:pStyle w:val="ListParagraph"/>
        <w:numPr>
          <w:ilvl w:val="0"/>
          <w:numId w:val="1"/>
        </w:numPr>
        <w:rPr/>
      </w:pPr>
      <w:r>
        <w:rPr/>
        <w:t>Změřte zesílení neinvertujícího operačního zesilovače v různých realizacích.</w:t>
      </w:r>
    </w:p>
    <w:p>
      <w:pPr>
        <w:pStyle w:val="ListParagraph"/>
        <w:numPr>
          <w:ilvl w:val="0"/>
          <w:numId w:val="1"/>
        </w:numPr>
        <w:rPr/>
      </w:pPr>
      <w:r>
        <w:rPr/>
        <w:t>Z naměřených hodnot vypočtěte absolutní a relativní chyby zesílení, vybrané závislosti zpracujte graficky.</w:t>
      </w:r>
    </w:p>
    <w:p>
      <w:pPr>
        <w:pStyle w:val="ListParagraph"/>
        <w:numPr>
          <w:ilvl w:val="0"/>
          <w:numId w:val="1"/>
        </w:numPr>
        <w:rPr/>
      </w:pPr>
      <w:r>
        <w:rPr/>
        <w:t>Do závěrečných poznámek zpracujte výtah z katalogového listu vybraného operačního zesilovače.</w:t>
      </w:r>
    </w:p>
    <w:p>
      <w:pPr>
        <w:pStyle w:val="ListParagraph"/>
        <w:numPr>
          <w:ilvl w:val="0"/>
          <w:numId w:val="1"/>
        </w:numPr>
        <w:rPr/>
      </w:pPr>
      <w:r>
        <w:rPr/>
        <w:t>Proveďte zhodnocení a závěr měření.</w:t>
      </w:r>
    </w:p>
    <w:p>
      <w:pPr>
        <w:pStyle w:val="Normal"/>
        <w:rPr/>
      </w:pPr>
      <w:r>
        <w:rPr/>
      </w:r>
    </w:p>
    <w:p>
      <w:pPr>
        <w:pStyle w:val="Nadpis2"/>
        <w:rPr/>
      </w:pPr>
      <w:r>
        <w:rPr/>
        <w:t>Obecná část</w:t>
      </w:r>
    </w:p>
    <w:p>
      <w:pPr>
        <w:pStyle w:val="Normal"/>
        <w:rPr/>
      </w:pPr>
      <w:r>
        <w:rPr/>
        <w:t>Zesílení zesilovače je definováno jako poměr výstupního a vstupního napětí:</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1</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oMath>
      </m:oMathPara>
    </w:p>
    <w:p>
      <w:pPr>
        <w:pStyle w:val="Normal"/>
        <w:rPr/>
      </w:pPr>
      <w:r>
        <w:rPr/>
        <w:t>Jde tedy o bezrozměrnou veličinu. Často se také uvádí v decibelové míře. Tvar výrazu pro další odvození závisí struktuře obvodu, hodnota tohoto výrazu se liší také pro jednotlivé realizace stejné struktury.</w:t>
      </w:r>
    </w:p>
    <w:p>
      <w:pPr>
        <w:pStyle w:val="Normal"/>
        <w:rPr/>
      </w:pPr>
      <w:r>
        <w:rPr/>
        <w:t>Operační zesilovač byl v minulosti používán pro realizaci matematických operací v analogových počítačích (odtud jeho název). Nejčastější provedení má dva vstupy (invertující a neinvertující) a jeden výstup. Zpravidla je napájen symetrickým zdrojem, např. ±15V. Kromě svorek pro vstupní a výstupní signály má OZ tedy svorky napájecí, dále svorky pro kompenzace různých závislostí (teplotní závislosti, vstupní napěťová nesymetrie aj.). V principielních schématech se napájecí svorky a přívody k nim často nekreslí, protože se bere za samozřejmé, že aktivní obvod je třeba napájet; schémata jsou potom přehlednější.</w:t>
      </w:r>
    </w:p>
    <w:p>
      <w:pPr>
        <w:pStyle w:val="Normal"/>
        <w:rPr/>
      </w:pPr>
      <w:r>
        <w:rPr/>
        <w:t>Ideální operační zesilovač má vlastnosti nezávislé na okolních vlivech, má nekonečně velký vstupní odpor, nekonečně velké zesílení a nulový výstupní odpor.</w:t>
      </w:r>
    </w:p>
    <w:p>
      <w:pPr>
        <w:pStyle w:val="Normal"/>
        <w:rPr/>
      </w:pPr>
      <w:r>
        <w:rPr/>
        <w:t>Reálný operační zesilovač má hodnoty vstupního odporu velké (viz katalogový list vybraného OZ), ale tyto hodnoty nejsou na obou vstupech přesně stejné. Pokud ke vstupům připojujeme rezistory velkých hodnot, je potřebné kompenzovat tzv. klidové vstupní proudy. V tomto případě by měly být ke vstupům OZ připojeny odpory srovnatelných hodnot.</w:t>
      </w:r>
    </w:p>
    <w:p>
      <w:pPr>
        <w:pStyle w:val="Normal"/>
        <w:rPr/>
      </w:pPr>
      <w:r>
        <w:rPr/>
        <w:t>Vlastnosti invertujícího operačního zesilovače jsou patrné z analýzy níže uvedeného schématu.</w:t>
      </w:r>
    </w:p>
    <w:p>
      <w:pPr>
        <w:pStyle w:val="Normal"/>
        <w:keepNext w:val="true"/>
        <w:jc w:val="center"/>
        <w:rPr/>
      </w:pPr>
      <w:r>
        <w:rPr/>
        <w:drawing>
          <wp:inline distT="0" distB="0" distL="0" distR="0">
            <wp:extent cx="3552825" cy="1800225"/>
            <wp:effectExtent l="0" t="0" r="0" b="0"/>
            <wp:docPr id="1" name="obrázek 2" descr="13 OZ\I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13 OZ\IOZ.bmp"/>
                    <pic:cNvPicPr>
                      <a:picLocks noChangeAspect="1" noChangeArrowheads="1"/>
                    </pic:cNvPicPr>
                  </pic:nvPicPr>
                  <pic:blipFill>
                    <a:blip r:embed="rId2"/>
                    <a:stretch>
                      <a:fillRect/>
                    </a:stretch>
                  </pic:blipFill>
                  <pic:spPr bwMode="auto">
                    <a:xfrm>
                      <a:off x="0" y="0"/>
                      <a:ext cx="3552825" cy="1800225"/>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1</w:t>
      </w:r>
      <w:r>
        <w:rPr/>
        <w:fldChar w:fldCharType="end"/>
      </w:r>
      <w:r>
        <w:rPr/>
        <w:t>: Schéma invertujícího zapojení operačního zesilovače</w:t>
      </w:r>
    </w:p>
    <w:p>
      <w:pPr>
        <w:pStyle w:val="Normal"/>
        <w:rPr/>
      </w:pPr>
      <w:r>
        <w:rPr/>
        <w:t>Vstupní odpor celého bloku je dán rezistorem vedoucím ze vstupu bloku na invertující vstup operačního zesilovače, pokud není přerušena záporná zpětná vazba a nebylo dosaženo saturace.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2</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rPr/>
      </w:pPr>
      <w:r>
        <w:rPr/>
        <w:t>Znaménko „-“ zde naznačuje, v případě stejnosměrných napětí má výstupní signál opačnou polaritu, v případě střídavých napětí má pak výstupní signál fázový posuv o 180° (půlperioda).</w:t>
      </w:r>
    </w:p>
    <w:p>
      <w:pPr>
        <w:pStyle w:val="Normal"/>
        <w:rPr/>
      </w:pPr>
      <w:r>
        <w:rPr/>
        <w:t>Vlastnosti neinvertujícího zesilovače jsou patrné z analýzy druhého níže uvedeného schématu.</w:t>
      </w:r>
    </w:p>
    <w:p>
      <w:pPr>
        <w:pStyle w:val="Normal"/>
        <w:keepNext w:val="true"/>
        <w:jc w:val="center"/>
        <w:rPr/>
      </w:pPr>
      <w:r>
        <w:rPr/>
        <w:drawing>
          <wp:inline distT="0" distB="0" distL="0" distR="0">
            <wp:extent cx="3600450" cy="1752600"/>
            <wp:effectExtent l="0" t="0" r="0" b="0"/>
            <wp:docPr id="2" name="obrázek 6" descr="13 OZ\NOZ.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 6" descr="13 OZ\NOZ.bmp"/>
                    <pic:cNvPicPr>
                      <a:picLocks noChangeAspect="1" noChangeArrowheads="1"/>
                    </pic:cNvPicPr>
                  </pic:nvPicPr>
                  <pic:blipFill>
                    <a:blip r:embed="rId3"/>
                    <a:stretch>
                      <a:fillRect/>
                    </a:stretch>
                  </pic:blipFill>
                  <pic:spPr bwMode="auto">
                    <a:xfrm>
                      <a:off x="0" y="0"/>
                      <a:ext cx="3600450" cy="175260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2</w:t>
      </w:r>
      <w:r>
        <w:rPr/>
        <w:fldChar w:fldCharType="end"/>
      </w:r>
      <w:r>
        <w:rPr/>
        <w:t>: Schéma neinvertujícího zapojení operačního zesilovače</w:t>
      </w:r>
    </w:p>
    <w:p>
      <w:pPr>
        <w:pStyle w:val="Normal"/>
        <w:rPr/>
      </w:pPr>
      <w:r>
        <w:rPr/>
        <w:t>Vstupní odpor celého bloku je pak dán vstupním odporem samotného operačního zesilovače. Zesílení má v tomto případě tvar:</w:t>
      </w:r>
    </w:p>
    <w:p>
      <w:pPr>
        <w:pStyle w:val="Caption1"/>
        <w:keepNext w:val="true"/>
        <w:jc w:val="center"/>
        <w:rPr/>
      </w:pPr>
      <w:r>
        <w:rPr/>
        <w:t xml:space="preserve">Rovnice </w:t>
      </w:r>
      <w:r>
        <w:rPr/>
        <w:fldChar w:fldCharType="begin"/>
      </w:r>
      <w:r>
        <w:rPr/>
        <w:instrText xml:space="preserve"> SEQ Rovnice \* ARABIC </w:instrText>
      </w:r>
      <w:r>
        <w:rPr/>
        <w:fldChar w:fldCharType="separate"/>
      </w:r>
      <w:r>
        <w:rPr/>
        <w:t>3</w:t>
      </w:r>
      <w:r>
        <w:rPr/>
        <w:fldChar w:fldCharType="end"/>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w:rPr>
                  <w:rFonts w:ascii="Cambria Math" w:hAnsi="Cambria Math"/>
                </w:rPr>
                <m:t xml:space="preserve">U</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r>
            <w:rPr>
              <w:rFonts w:ascii="Cambria Math" w:hAnsi="Cambria Math"/>
            </w:rPr>
            <m:t xml:space="preserve">1</m:t>
          </m:r>
          <m:r>
            <w:rPr>
              <w:rFonts w:ascii="Cambria Math" w:hAnsi="Cambria Math"/>
            </w:rPr>
            <m:t xml:space="preserve">+</m:t>
          </m:r>
          <m:f>
            <m:num>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R</m:t>
                  </m:r>
                </m:e>
                <m:sub>
                  <m:r>
                    <w:rPr>
                      <w:rFonts w:ascii="Cambria Math" w:hAnsi="Cambria Math"/>
                    </w:rPr>
                    <m:t xml:space="preserve">1</m:t>
                  </m:r>
                </m:sub>
              </m:sSub>
            </m:den>
          </m:f>
        </m:oMath>
      </m:oMathPara>
    </w:p>
    <w:p>
      <w:pPr>
        <w:pStyle w:val="Normal"/>
        <w:jc w:val="center"/>
        <w:rPr/>
      </w:pPr>
      <w:r>
        <w:rPr/>
      </w:r>
    </w:p>
    <w:p>
      <w:pPr>
        <w:pStyle w:val="Normal"/>
        <w:keepNext w:val="true"/>
        <w:jc w:val="center"/>
        <w:rPr/>
      </w:pPr>
      <w:r>
        <w:rPr/>
        <w:drawing>
          <wp:inline distT="0" distB="0" distL="0" distR="0">
            <wp:extent cx="2743200" cy="1771650"/>
            <wp:effectExtent l="0" t="0" r="0" b="0"/>
            <wp:docPr id="3" name="obrázek 10" descr="03_OZ_1\IOZ_kompenzac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 10" descr="03_OZ_1\IOZ_kompenzace.bmp"/>
                    <pic:cNvPicPr>
                      <a:picLocks noChangeAspect="1" noChangeArrowheads="1"/>
                    </pic:cNvPicPr>
                  </pic:nvPicPr>
                  <pic:blipFill>
                    <a:blip r:embed="rId4"/>
                    <a:stretch>
                      <a:fillRect/>
                    </a:stretch>
                  </pic:blipFill>
                  <pic:spPr bwMode="auto">
                    <a:xfrm>
                      <a:off x="0" y="0"/>
                      <a:ext cx="2743200" cy="17716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3</w:t>
      </w:r>
      <w:r>
        <w:rPr/>
        <w:fldChar w:fldCharType="end"/>
      </w:r>
      <w:r>
        <w:rPr/>
        <w:t>: Schéma pro ověření kompenzace vstupních proudů</w:t>
      </w:r>
    </w:p>
    <w:p>
      <w:pPr>
        <w:pStyle w:val="Normal"/>
        <w:rPr/>
      </w:pPr>
      <w:r>
        <w:rPr/>
      </w:r>
    </w:p>
    <w:p>
      <w:pPr>
        <w:pStyle w:val="Normal"/>
        <w:rPr/>
      </w:pPr>
      <w:r>
        <w:rPr/>
      </w:r>
    </w:p>
    <w:p>
      <w:pPr>
        <w:pStyle w:val="Nadpis2"/>
        <w:rPr/>
      </w:pPr>
      <w:r>
        <w:rPr/>
        <w:t>Schéma zapojení</w:t>
      </w:r>
    </w:p>
    <w:p>
      <w:pPr>
        <w:pStyle w:val="Normal"/>
        <w:keepNext w:val="true"/>
        <w:jc w:val="center"/>
        <w:rPr/>
      </w:pPr>
      <w:r>
        <w:rPr/>
        <w:drawing>
          <wp:inline distT="0" distB="0" distL="0" distR="0">
            <wp:extent cx="4800600" cy="1085850"/>
            <wp:effectExtent l="0" t="0" r="0" b="0"/>
            <wp:docPr id="4" name="obrázek 13" descr="13 OZ\Blok_s_OZ_1vstU_mp.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ázek 13" descr="13 OZ\Blok_s_OZ_1vstU_mp.bmp"/>
                    <pic:cNvPicPr>
                      <a:picLocks noChangeAspect="1" noChangeArrowheads="1"/>
                    </pic:cNvPicPr>
                  </pic:nvPicPr>
                  <pic:blipFill>
                    <a:blip r:embed="rId5"/>
                    <a:stretch>
                      <a:fillRect/>
                    </a:stretch>
                  </pic:blipFill>
                  <pic:spPr bwMode="auto">
                    <a:xfrm>
                      <a:off x="0" y="0"/>
                      <a:ext cx="4800600" cy="108585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4</w:t>
      </w:r>
      <w:r>
        <w:rPr/>
        <w:fldChar w:fldCharType="end"/>
      </w:r>
      <w:r>
        <w:rPr/>
        <w:t>: Zapojení přístrojů a pomůcek (zdroj napájecího napětí není zakreslen)</w:t>
      </w:r>
    </w:p>
    <w:p>
      <w:pPr>
        <w:pStyle w:val="Normal"/>
        <w:rPr/>
      </w:pPr>
      <w:r>
        <w:rPr/>
      </w:r>
    </w:p>
    <w:p>
      <w:pPr>
        <w:pStyle w:val="Normal"/>
        <w:rPr/>
      </w:pPr>
      <w:r>
        <w:rPr/>
      </w:r>
    </w:p>
    <w:p>
      <w:pPr>
        <w:pStyle w:val="Nadpis2"/>
        <w:rPr/>
      </w:pPr>
      <w:r>
        <w:rPr/>
        <w:t>Postup měření</w:t>
      </w:r>
    </w:p>
    <w:p>
      <w:pPr>
        <w:pStyle w:val="ListParagraph"/>
        <w:numPr>
          <w:ilvl w:val="0"/>
          <w:numId w:val="2"/>
        </w:numPr>
        <w:rPr/>
      </w:pPr>
      <w:r>
        <w:rPr/>
        <w:t>Měření na invertujícím operačním zesilovači: Propojíme moduly stavebnice Dominoputer dle prvního schématu (hodnoty rezistorů najdete v tabulce).</w:t>
      </w:r>
    </w:p>
    <w:p>
      <w:pPr>
        <w:pStyle w:val="ListParagraph"/>
        <w:numPr>
          <w:ilvl w:val="0"/>
          <w:numId w:val="2"/>
        </w:numPr>
        <w:rPr/>
      </w:pPr>
      <w:r>
        <w:rPr/>
        <w:t>Připojíme multimetry a zdroje signálového a napájecího napětí dle schématu zapojení (připojení napájecího zdroje k OZ není dle zavedených konvencí zakresleno).</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3 a 4 opakujeme pro všechny řády signálového napětí naznačené v tabulce.</w:t>
      </w:r>
    </w:p>
    <w:p>
      <w:pPr>
        <w:pStyle w:val="ListParagraph"/>
        <w:numPr>
          <w:ilvl w:val="0"/>
          <w:numId w:val="2"/>
        </w:numPr>
        <w:rPr/>
      </w:pPr>
      <w:r>
        <w:rPr/>
        <w:t>Zapojíme 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6 až 8 opakujeme pro všechny jmenovité hodnoty zesílení v tabulce. Z těchto hodnot potom (v rámci zpracování protokolu) vypočteme skutečná zesílení a jejich chyby.</w:t>
      </w:r>
    </w:p>
    <w:p>
      <w:pPr>
        <w:pStyle w:val="ListParagraph"/>
        <w:numPr>
          <w:ilvl w:val="0"/>
          <w:numId w:val="2"/>
        </w:numPr>
        <w:rPr/>
      </w:pPr>
      <w:r>
        <w:rPr/>
        <w:t xml:space="preserve">Měření vstupního odporu: Zapojíme invertující operační zesilovač (se jmenovitým zesílením </w:t>
      </w:r>
      <w:r>
        <w:rPr>
          <w:i/>
          <w:iCs/>
        </w:rPr>
        <w:t>A</w:t>
      </w:r>
      <w:r>
        <w:rPr>
          <w:vertAlign w:val="subscript"/>
        </w:rPr>
        <w:t>U</w:t>
      </w:r>
      <w:r>
        <w:rPr/>
        <w:t xml:space="preserve"> = -1, oba rezistory zvolíme 10 k</w:t>
      </w:r>
      <w:r>
        <w:rPr>
          <w:rFonts w:ascii="Symbol" w:hAnsi="Symbol"/>
        </w:rPr>
        <w:t></w:t>
      </w:r>
      <w:r>
        <w:rPr/>
        <w:t>), na vstup připojíme napětí cca 1V.</w:t>
      </w:r>
    </w:p>
    <w:p>
      <w:pPr>
        <w:pStyle w:val="ListParagraph"/>
        <w:numPr>
          <w:ilvl w:val="0"/>
          <w:numId w:val="2"/>
        </w:numPr>
        <w:rPr/>
      </w:pPr>
      <w:r>
        <w:rPr/>
        <w:t>Změříme hodnotu napětí na invertujícím vstupu (svorka označena znaménkem - ) operačního zesilovače a určíme vstupní odpor.</w:t>
      </w:r>
    </w:p>
    <w:p>
      <w:pPr>
        <w:pStyle w:val="ListParagraph"/>
        <w:numPr>
          <w:ilvl w:val="0"/>
          <w:numId w:val="2"/>
        </w:numPr>
        <w:rPr/>
      </w:pPr>
      <w:r>
        <w:rPr/>
        <w:t>Měření výstupního odporu: Při shodných podmínkách změříme výstupní napětí při různém zatížení výstupu. Z těchto hodnot potom určíme výstupní odpor.</w:t>
      </w:r>
    </w:p>
    <w:p>
      <w:pPr>
        <w:pStyle w:val="ListParagraph"/>
        <w:numPr>
          <w:ilvl w:val="0"/>
          <w:numId w:val="2"/>
        </w:numPr>
        <w:rPr/>
      </w:pPr>
      <w:r>
        <w:rPr/>
        <w:t>Pro ověření vlivu vstupních proudů (</w:t>
      </w:r>
      <w:r>
        <w:rPr>
          <w:i/>
          <w:iCs/>
        </w:rPr>
        <w:t>R</w:t>
      </w:r>
      <w:r>
        <w:rPr>
          <w:vertAlign w:val="subscript"/>
        </w:rPr>
        <w:t>1</w:t>
      </w:r>
      <w:r>
        <w:rPr/>
        <w:t xml:space="preserve"> = </w:t>
      </w:r>
      <w:r>
        <w:rPr>
          <w:i/>
          <w:iCs/>
        </w:rPr>
        <w:t>R</w:t>
      </w:r>
      <w:r>
        <w:rPr>
          <w:vertAlign w:val="subscript"/>
        </w:rPr>
        <w:t>2</w:t>
      </w:r>
      <w:r>
        <w:rPr/>
        <w:t xml:space="preserve"> = 1 M</w:t>
      </w:r>
      <w:r>
        <w:rPr>
          <w:rFonts w:ascii="Symbol" w:hAnsi="Symbol"/>
        </w:rPr>
        <w:t></w:t>
      </w:r>
      <w:r>
        <w:rPr/>
        <w:t xml:space="preserve">) a jejich kompenzace provedeme následující úpravu schématu, volíme různé hodnoty nově zařazeného rezistoru </w:t>
      </w:r>
      <w:r>
        <w:rPr>
          <w:i/>
          <w:iCs/>
        </w:rPr>
        <w:t>R</w:t>
      </w:r>
      <w:r>
        <w:rPr>
          <w:vertAlign w:val="subscript"/>
        </w:rPr>
        <w:t>3</w:t>
      </w:r>
      <w:r>
        <w:rPr/>
        <w:t xml:space="preserve">. Do tabulky zapíšeme vstupní napětí a výstupní napětí pro jednotlivé hodnoty </w:t>
      </w:r>
      <w:r>
        <w:rPr>
          <w:i/>
          <w:iCs/>
        </w:rPr>
        <w:t>R</w:t>
      </w:r>
      <w:r>
        <w:rPr>
          <w:vertAlign w:val="subscript"/>
        </w:rPr>
        <w:t>3</w:t>
      </w:r>
      <w:r>
        <w:rPr/>
        <w:t>.</w:t>
      </w:r>
    </w:p>
    <w:p>
      <w:pPr>
        <w:pStyle w:val="ListParagraph"/>
        <w:numPr>
          <w:ilvl w:val="0"/>
          <w:numId w:val="2"/>
        </w:numPr>
        <w:rPr/>
      </w:pPr>
      <w:r>
        <w:rPr/>
        <w:t>Měření na neinvertujícím operačním zesilovači: Propojíme moduly stavebnice Dominoputer dle druhého schématu (hodnoty rezistorů najdete v tabulce).</w:t>
      </w:r>
    </w:p>
    <w:p>
      <w:pPr>
        <w:pStyle w:val="ListParagraph"/>
        <w:numPr>
          <w:ilvl w:val="0"/>
          <w:numId w:val="2"/>
        </w:numPr>
        <w:rPr/>
      </w:pPr>
      <w:r>
        <w:rPr/>
        <w:t>Připojíme multimetry a zdroje signálového a napájecího napětí.</w:t>
      </w:r>
    </w:p>
    <w:p>
      <w:pPr>
        <w:pStyle w:val="ListParagraph"/>
        <w:numPr>
          <w:ilvl w:val="0"/>
          <w:numId w:val="2"/>
        </w:numPr>
        <w:rPr/>
      </w:pPr>
      <w:r>
        <w:rPr/>
        <w:t>Zdroj signálového napětí nastavíme na hodnotu řádově odpovídající údaji v tabulce a zapíšeme ji do příslušných políček, dále zaznamenáme hodnotu výstupního napětí.</w:t>
      </w:r>
    </w:p>
    <w:p>
      <w:pPr>
        <w:pStyle w:val="ListParagraph"/>
        <w:numPr>
          <w:ilvl w:val="0"/>
          <w:numId w:val="2"/>
        </w:numPr>
        <w:rPr/>
      </w:pPr>
      <w:r>
        <w:rPr/>
        <w:t>Postupně měníme konfiguraci zesilovače (Pozor na překročení rozsahu v okamžiku přerušení zpětné vazby, kdy zesilovač přejde do saturace!).</w:t>
      </w:r>
    </w:p>
    <w:p>
      <w:pPr>
        <w:pStyle w:val="ListParagraph"/>
        <w:numPr>
          <w:ilvl w:val="0"/>
          <w:numId w:val="2"/>
        </w:numPr>
        <w:rPr/>
      </w:pPr>
      <w:r>
        <w:rPr/>
        <w:t>Body 16 a 17 opakujeme pro všechny řády signálového napětí naznačené v tabulce.</w:t>
      </w:r>
    </w:p>
    <w:p>
      <w:pPr>
        <w:pStyle w:val="ListParagraph"/>
        <w:numPr>
          <w:ilvl w:val="0"/>
          <w:numId w:val="2"/>
        </w:numPr>
        <w:rPr/>
      </w:pPr>
      <w:r>
        <w:rPr/>
        <w:t>Zapojíme neinvertující OZ se jmenovitým zesílením dle tabulky (</w:t>
      </w:r>
      <w:r>
        <w:rPr>
          <w:i/>
          <w:iCs/>
        </w:rPr>
        <w:t>R</w:t>
      </w:r>
      <w:r>
        <w:rPr>
          <w:vertAlign w:val="subscript"/>
        </w:rPr>
        <w:t>1</w:t>
      </w:r>
      <w:r>
        <w:rPr/>
        <w:t xml:space="preserve"> = 1 k</w:t>
      </w:r>
      <w:r>
        <w:rPr>
          <w:rFonts w:ascii="Symbol" w:hAnsi="Symbol"/>
        </w:rPr>
        <w:t></w:t>
      </w:r>
      <w:r>
        <w:rPr/>
        <w:t>).</w:t>
      </w:r>
    </w:p>
    <w:p>
      <w:pPr>
        <w:pStyle w:val="ListParagraph"/>
        <w:numPr>
          <w:ilvl w:val="0"/>
          <w:numId w:val="2"/>
        </w:numPr>
        <w:rPr/>
      </w:pPr>
      <w:r>
        <w:rPr/>
        <w:t>Zdroj signálového napětí nastavíme na hodnotu řádově v desítkách mV, tuto hodnotu změříme a zapíšeme.</w:t>
      </w:r>
    </w:p>
    <w:p>
      <w:pPr>
        <w:pStyle w:val="ListParagraph"/>
        <w:numPr>
          <w:ilvl w:val="0"/>
          <w:numId w:val="2"/>
        </w:numPr>
        <w:rPr/>
      </w:pPr>
      <w:r>
        <w:rPr/>
        <w:t>Změříme a zaznamenáme hodnotu výstupního napětí.</w:t>
      </w:r>
    </w:p>
    <w:p>
      <w:pPr>
        <w:pStyle w:val="ListParagraph"/>
        <w:numPr>
          <w:ilvl w:val="0"/>
          <w:numId w:val="2"/>
        </w:numPr>
        <w:rPr/>
      </w:pPr>
      <w:r>
        <w:rPr/>
        <w:t>Body 19 až 21 opakujeme pro všechny jmenovité hodnoty zesílení v tabulce. Z těchto hodnot potom vypočteme skutečná zesílení a jejich chyby.</w:t>
      </w:r>
    </w:p>
    <w:p>
      <w:pPr>
        <w:pStyle w:val="ListParagraph"/>
        <w:numPr>
          <w:ilvl w:val="0"/>
          <w:numId w:val="2"/>
        </w:numPr>
        <w:rPr/>
      </w:pPr>
      <w:r>
        <w:rPr/>
        <w:t>Nyní modifikujeme zapojení na napěťový sledovač (</w:t>
      </w:r>
      <w:r>
        <w:rPr>
          <w:i/>
          <w:iCs/>
        </w:rPr>
        <w:t>A</w:t>
      </w:r>
      <w:r>
        <w:rPr>
          <w:vertAlign w:val="subscript"/>
        </w:rPr>
        <w:t>U jmenovité</w:t>
      </w:r>
      <w:r>
        <w:rPr/>
        <w:t xml:space="preserve"> = 1; neinvertující vstup OZ je vstupní svorkou sledovače, z výstupu je napětí přivedeno zpětnou vazbou na invertující vstup OZ) a prověříme jeho chování stejným způsobem, jako dříve měřené obvody.</w:t>
      </w:r>
    </w:p>
    <w:p>
      <w:pPr>
        <w:pStyle w:val="Normal"/>
        <w:rPr/>
      </w:pPr>
      <w:r>
        <w:rPr/>
      </w:r>
    </w:p>
    <w:p>
      <w:pPr>
        <w:pStyle w:val="Normal"/>
        <w:rPr/>
      </w:pPr>
      <w:r>
        <w:rPr/>
      </w:r>
    </w:p>
    <w:p>
      <w:pPr>
        <w:pStyle w:val="Nadpis2"/>
        <w:rPr/>
      </w:pPr>
      <w:r>
        <w:rPr/>
        <w:t>Otázky</w:t>
      </w:r>
    </w:p>
    <w:p>
      <w:pPr>
        <w:pStyle w:val="ListParagraph"/>
        <w:numPr>
          <w:ilvl w:val="0"/>
          <w:numId w:val="3"/>
        </w:numPr>
        <w:rPr/>
      </w:pPr>
      <w:r>
        <w:rPr/>
        <w:t>Srovnejte vlastnosti různých zapojení operačních zesilovačů.</w:t>
      </w:r>
    </w:p>
    <w:p>
      <w:pPr>
        <w:pStyle w:val="ListParagraph"/>
        <w:numPr>
          <w:ilvl w:val="0"/>
          <w:numId w:val="3"/>
        </w:numPr>
        <w:rPr/>
      </w:pPr>
      <w:r>
        <w:rPr/>
        <w:t>Proveďte stručný výpis parametrů vybraného OZ z katalogového listu.</w:t>
      </w:r>
    </w:p>
    <w:p>
      <w:pPr>
        <w:pStyle w:val="ListParagraph"/>
        <w:numPr>
          <w:ilvl w:val="0"/>
          <w:numId w:val="3"/>
        </w:numPr>
        <w:rPr/>
      </w:pPr>
      <w:r>
        <w:rPr/>
        <w:t>Jakým způsobem byste realizovali aktivní usměrňovač pomocí OZ? Komentujte vliv hodnot použitých součástek. Do závěrečných poznámek narýsujte schéma.</w:t>
      </w:r>
    </w:p>
    <w:p>
      <w:pPr>
        <w:pStyle w:val="ListParagraph"/>
        <w:numPr>
          <w:ilvl w:val="0"/>
          <w:numId w:val="3"/>
        </w:numPr>
        <w:rPr/>
      </w:pPr>
      <w:r>
        <w:rPr/>
        <w:t>Popište funkci převodníku I/U s operačním zesilovačem. Komentujte vliv hodnot použitých součástek. Do závěrečných poznámek narýsujte schéma.</w:t>
      </w:r>
    </w:p>
    <w:p>
      <w:pPr>
        <w:pStyle w:val="ListParagraph"/>
        <w:numPr>
          <w:ilvl w:val="0"/>
          <w:numId w:val="3"/>
        </w:numPr>
        <w:rPr/>
      </w:pPr>
      <w:r>
        <w:rPr/>
        <w:t>Popište funkci převodníku U/I s invertujícím operačním zesilovačem. Komentujte vliv hodnot použitých součástek. Do závěrečných poznámek narýsujte schéma.</w:t>
      </w:r>
    </w:p>
    <w:p>
      <w:pPr>
        <w:pStyle w:val="Normal"/>
        <w:rPr/>
      </w:pPr>
      <w:r>
        <w:rPr/>
      </w:r>
    </w:p>
    <w:p>
      <w:pPr>
        <w:pStyle w:val="Normal"/>
        <w:rPr/>
      </w:pPr>
      <w:r>
        <w:rPr/>
      </w:r>
    </w:p>
    <w:p>
      <w:pPr>
        <w:pStyle w:val="Nadpis2"/>
        <w:rPr/>
      </w:pPr>
      <w:r>
        <w:rPr/>
        <w:t>Tabulky naměřených hodnot</w:t>
      </w:r>
    </w:p>
    <w:p>
      <w:pPr>
        <w:pStyle w:val="Nadpis3"/>
        <w:rPr/>
      </w:pPr>
      <w:r>
        <w:rPr/>
        <w:t>Měření na 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1</w:t>
      </w:r>
      <w:r>
        <w:rPr/>
        <w:fldChar w:fldCharType="end"/>
      </w:r>
      <w:r>
        <w:rPr/>
        <w:t>: Měření chyby zesílení (A</w:t>
      </w:r>
      <w:r>
        <w:rPr>
          <w:vertAlign w:val="subscript"/>
        </w:rPr>
        <w:t>U jmenovité</w:t>
      </w:r>
      <w:r>
        <w:rPr/>
        <w:t xml:space="preserve"> =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 xml:space="preserve">hodnota </w:t>
            </w:r>
            <w:r>
              <w:rPr>
                <w:b/>
                <w:bCs/>
                <w:position w:val="0"/>
                <w:sz w:val="22"/>
                <w:sz w:val="22"/>
                <w:vertAlign w:val="baseline"/>
              </w:rPr>
              <w:t>U</w:t>
            </w:r>
            <w:r>
              <w:rPr>
                <w:b/>
                <w:bCs/>
                <w:vertAlign w:val="subscript"/>
              </w:rPr>
              <w:t>1</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 mV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-56,89m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 mV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-56,91m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 mV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-56,94</w:t>
            </w:r>
            <w:r>
              <w:rPr>
                <w:b/>
                <w:bCs/>
              </w:rPr>
              <w:t>m</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 m</w:t>
            </w:r>
            <w:r>
              <w:rPr>
                <w:b/>
                <w:bCs/>
              </w:rPr>
              <w:t>V</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 mV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-0,4163</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 mV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-0,4164</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-4,009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-4,010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 V</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-4,011</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2</w:t>
      </w:r>
      <w:r>
        <w:rPr/>
        <w:fldChar w:fldCharType="end"/>
      </w:r>
      <w:r>
        <w:rPr/>
        <w:t>:Měření chyby zesílení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4"/>
        <w:gridCol w:w="1916"/>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40"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r>
              <w:rPr>
                <w:b/>
                <w:bCs/>
                <w:lang w:val="de-DE"/>
              </w:rPr>
              <w:t>V</w:t>
            </w:r>
            <w:r>
              <w:rPr>
                <w:b/>
                <w:bCs/>
                <w:lang w:val="de-DE"/>
              </w:rPr>
              <w:t>)</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9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1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1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w:t>
            </w:r>
            <w:r>
              <w:rPr>
                <w:b/>
                <w:bCs/>
              </w:rPr>
              <w:t>5682</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-0,5682</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-5,682</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3</w:t>
      </w:r>
      <w:r>
        <w:rPr/>
        <w:fldChar w:fldCharType="end"/>
      </w:r>
      <w:r>
        <w:rPr/>
        <w:t>: Měření vstupního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(V)</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w:t>
            </w:r>
            <w:r>
              <w:rPr>
                <w:b/>
                <w:bCs/>
              </w:rPr>
              <w:t xml:space="preserve"> (mV)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1,0153</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-0,03</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4</w:t>
      </w:r>
      <w:r>
        <w:rPr/>
        <w:fldChar w:fldCharType="end"/>
      </w:r>
      <w:r>
        <w:rPr/>
        <w:t>: Měření výstupního odporu OZ</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blHeader w:val="true"/>
          <w:cantSplit w:val="true"/>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Z</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(mV)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naprázdno</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-101,61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-20,35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-10,19</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5</w:t>
      </w:r>
      <w:r>
        <w:rPr/>
        <w:fldChar w:fldCharType="end"/>
      </w:r>
      <w:r>
        <w:rPr/>
        <w:t>: Ověření kompenzace vstupních proudů</w:t>
      </w:r>
    </w:p>
    <w:tbl>
      <w:tblPr>
        <w:tblW w:w="601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986"/>
        <w:gridCol w:w="3024"/>
      </w:tblGrid>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(V)</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3</w:t>
            </w:r>
            <w:r>
              <w:rPr>
                <w:b/>
                <w:bCs/>
              </w:rPr>
              <w:t xml:space="preserve"> </w:t>
            </w:r>
            <w:r>
              <w:rPr>
                <w:b/>
                <w:bCs/>
                <w:lang w:val="de-DE"/>
              </w:rPr>
              <w:t>(</w:t>
            </w:r>
            <w:r>
              <w:rPr>
                <w:rFonts w:ascii="Symbol" w:hAnsi="Symbol"/>
                <w:b/>
                <w:bCs/>
                <w:lang w:val="de-DE"/>
              </w:rPr>
              <w:t></w:t>
            </w:r>
            <w:r>
              <w:rPr>
                <w:b/>
                <w:bCs/>
                <w:lang w:val="de-DE"/>
              </w:rPr>
              <w:t>)</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500 K</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-1,0155</w:t>
            </w:r>
          </w:p>
        </w:tc>
      </w:tr>
      <w:tr>
        <w:trPr/>
        <w:tc>
          <w:tcPr>
            <w:tcW w:w="298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M</w:t>
            </w:r>
          </w:p>
        </w:tc>
        <w:tc>
          <w:tcPr>
            <w:tcW w:w="30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-1,0156</w:t>
            </w:r>
          </w:p>
        </w:tc>
      </w:tr>
    </w:tbl>
    <w:p>
      <w:pPr>
        <w:pStyle w:val="Normal"/>
        <w:jc w:val="center"/>
        <w:rPr/>
      </w:pPr>
      <w:r>
        <w:rPr/>
      </w:r>
    </w:p>
    <w:p>
      <w:pPr>
        <w:pStyle w:val="Nadpis3"/>
        <w:rPr/>
      </w:pPr>
      <w:r>
        <w:rPr/>
        <w:t>Měření na neinvertujícím operačním zesilovači</w:t>
      </w:r>
    </w:p>
    <w:p>
      <w:pPr>
        <w:pStyle w:val="Caption1"/>
        <w:keepNext w:val="true"/>
        <w:rPr/>
      </w:pPr>
      <w:r>
        <w:rPr/>
        <w:t xml:space="preserve">Tabulka </w:t>
      </w:r>
      <w:r>
        <w:rPr/>
        <w:fldChar w:fldCharType="begin"/>
      </w:r>
      <w:r>
        <w:rPr/>
        <w:instrText xml:space="preserve"> SEQ Tabulka \* ARABIC </w:instrText>
      </w:r>
      <w:r>
        <w:rPr/>
        <w:fldChar w:fldCharType="separate"/>
      </w:r>
      <w:r>
        <w:rPr/>
        <w:t>6</w:t>
      </w:r>
      <w:r>
        <w:rPr/>
        <w:fldChar w:fldCharType="end"/>
      </w:r>
      <w:r>
        <w:rPr/>
        <w:t>: Měření chyby zesílení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gridCol w:w="2302"/>
      </w:tblGrid>
      <w:tr>
        <w:trPr>
          <w:tblHeader w:val="true"/>
          <w:cantSplit w:val="true"/>
        </w:trPr>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(V)</w:t>
            </w:r>
          </w:p>
        </w:tc>
        <w:tc>
          <w:tcPr>
            <w:tcW w:w="23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23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0,1129</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0,8318</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8,020</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8,018</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7</w:t>
      </w:r>
      <w:r>
        <w:rPr/>
        <w:fldChar w:fldCharType="end"/>
      </w:r>
      <w:r>
        <w:rPr/>
        <w:t>: Měření chyby zesílení neinvertujícího OZ pro malá napětí (různá jmenovitá zesílení)</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2"/>
        <w:gridCol w:w="1794"/>
        <w:gridCol w:w="1916"/>
        <w:gridCol w:w="1924"/>
        <w:gridCol w:w="1876"/>
      </w:tblGrid>
      <w:tr>
        <w:trPr>
          <w:tblHeader w:val="true"/>
          <w:cantSplit w:val="true"/>
        </w:trPr>
        <w:tc>
          <w:tcPr>
            <w:tcW w:w="170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en-US"/>
              </w:rPr>
            </w:pPr>
            <w:r>
              <w:rPr>
                <w:b/>
                <w:bCs/>
                <w:i/>
                <w:iCs/>
              </w:rPr>
              <w:t>A</w:t>
            </w:r>
            <w:r>
              <w:rPr>
                <w:b/>
                <w:bCs/>
                <w:vertAlign w:val="subscript"/>
              </w:rPr>
              <w:t>U jmenovité</w:t>
            </w:r>
            <w:r>
              <w:rPr>
                <w:b/>
                <w:bCs/>
              </w:rPr>
              <w:t xml:space="preserve"> </w:t>
            </w:r>
            <w:r>
              <w:rPr>
                <w:b/>
                <w:bCs/>
                <w:lang w:val="en-US"/>
              </w:rPr>
              <w:t>( - )</w:t>
            </w:r>
          </w:p>
        </w:tc>
        <w:tc>
          <w:tcPr>
            <w:tcW w:w="179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3840"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r>
              <w:rPr>
                <w:b/>
                <w:bCs/>
              </w:rPr>
              <w:t xml:space="preserve"> </w:t>
            </w:r>
            <w:r>
              <w:rPr>
                <w:b/>
                <w:bCs/>
                <w:lang w:val="de-DE"/>
              </w:rPr>
              <w:t>(mV)</w:t>
            </w:r>
          </w:p>
        </w:tc>
        <w:tc>
          <w:tcPr>
            <w:tcW w:w="187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(V)</w:t>
            </w:r>
          </w:p>
        </w:tc>
      </w:tr>
      <w:tr>
        <w:trPr>
          <w:tblHeader w:val="true"/>
          <w:cantSplit w:val="true"/>
        </w:trPr>
        <w:tc>
          <w:tcPr>
            <w:tcW w:w="170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9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1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92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187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16"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924"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40</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0,114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11</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0,624</w:t>
            </w:r>
          </w:p>
        </w:tc>
      </w:tr>
      <w:tr>
        <w:trPr>
          <w:cantSplit w:val="true"/>
        </w:trPr>
        <w:tc>
          <w:tcPr>
            <w:tcW w:w="170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w:t>
            </w:r>
          </w:p>
        </w:tc>
        <w:tc>
          <w:tcPr>
            <w:tcW w:w="179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16"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24"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5,724</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8</w:t>
      </w:r>
      <w:r>
        <w:rPr/>
        <w:fldChar w:fldCharType="end"/>
      </w:r>
      <w:r>
        <w:rPr/>
        <w:t>: Měření chyby zesílení na napěťovém sledovači (A</w:t>
      </w:r>
      <w:r>
        <w:rPr>
          <w:vertAlign w:val="subscript"/>
        </w:rPr>
        <w:t>U jmenovité</w:t>
      </w:r>
      <w:r>
        <w:rPr/>
        <w:t xml:space="preserve"> = 1)</w:t>
      </w:r>
    </w:p>
    <w:tbl>
      <w:tblPr>
        <w:tblW w:w="6909"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2303"/>
        <w:gridCol w:w="2303"/>
        <w:gridCol w:w="2303"/>
      </w:tblGrid>
      <w:tr>
        <w:trPr>
          <w:tblHeader w:val="true"/>
          <w:cantSplit w:val="true"/>
        </w:trPr>
        <w:tc>
          <w:tcPr>
            <w:tcW w:w="4606" w:type="dxa"/>
            <w:gridSpan w:val="2"/>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(V)</w:t>
            </w:r>
          </w:p>
        </w:tc>
        <w:tc>
          <w:tcPr>
            <w:tcW w:w="230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rPr>
              <w:t>V</w:t>
            </w:r>
            <w:r>
              <w:rPr>
                <w:b/>
                <w:bCs/>
              </w:rPr>
              <w:t>)</w:t>
            </w:r>
          </w:p>
        </w:tc>
      </w:tr>
      <w:tr>
        <w:trPr>
          <w:tblHeader w:val="true"/>
          <w:cantSplit w:val="true"/>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změřená</w:t>
            </w:r>
          </w:p>
        </w:tc>
        <w:tc>
          <w:tcPr>
            <w:tcW w:w="230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0,0567</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0,4162</w:t>
            </w:r>
          </w:p>
        </w:tc>
      </w:tr>
      <w:tr>
        <w:trPr/>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23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4</w:t>
            </w:r>
          </w:p>
        </w:tc>
        <w:tc>
          <w:tcPr>
            <w:tcW w:w="230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4,011</w:t>
            </w:r>
          </w:p>
        </w:tc>
      </w:tr>
    </w:tbl>
    <w:p>
      <w:pPr>
        <w:pStyle w:val="Normal"/>
        <w:jc w:val="center"/>
        <w:rPr/>
      </w:pPr>
      <w:r>
        <w:rPr/>
      </w:r>
    </w:p>
    <w:p>
      <w:pPr>
        <w:pStyle w:val="Normal"/>
        <w:jc w:val="center"/>
        <w:rPr/>
      </w:pPr>
      <w:r>
        <w:rPr/>
      </w:r>
    </w:p>
    <w:p>
      <w:pPr>
        <w:pStyle w:val="Nadpis2"/>
        <w:rPr/>
      </w:pPr>
      <w:r>
        <w:rPr/>
        <w:t>Výpočty a odvození</w:t>
      </w:r>
    </w:p>
    <w:p>
      <w:pPr>
        <w:pStyle w:val="Normal"/>
        <w:rPr/>
      </w:pPr>
      <w:r>
        <w:rPr/>
        <w:t>Proveďte kontrolní výpočet skutečného zesílení a jeho chyby absolutní i relativní pro jeden z řádků tabulky. Pro identifikaci vyplňte následující údaje:</w:t>
      </w:r>
    </w:p>
    <w:p>
      <w:pPr>
        <w:pStyle w:val="Normal"/>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9</w:t>
      </w:r>
      <w:r>
        <w:rPr/>
        <w:fldChar w:fldCharType="end"/>
      </w:r>
      <w:r>
        <w:rPr/>
        <w:t>: Měření chyby zesílení 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0,04</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0,05689</w:t>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m:t>
              </m:r>
              <m:r>
                <w:rPr>
                  <w:rFonts w:ascii="Cambria Math" w:hAnsi="Cambria Math"/>
                </w:rPr>
                <m:t xml:space="preserve">0,05689</m:t>
              </m:r>
            </m:num>
            <m:den>
              <m:r>
                <w:rPr>
                  <w:rFonts w:ascii="Cambria Math" w:hAnsi="Cambria Math"/>
                </w:rPr>
                <m:t xml:space="preserve">0</m:t>
              </m:r>
              <m:r>
                <w:rPr>
                  <w:rFonts w:ascii="Cambria Math" w:hAnsi="Cambria Math"/>
                </w:rPr>
                <m:t xml:space="preserve">,04</m:t>
              </m:r>
            </m:den>
          </m:f>
          <m:r>
            <w:rPr>
              <w:rFonts w:ascii="Cambria Math" w:hAnsi="Cambria Math"/>
            </w:rPr>
            <m:t xml:space="preserve">=</m:t>
          </m:r>
          <m:r>
            <w:rPr>
              <w:rFonts w:ascii="Cambria Math" w:hAnsi="Cambria Math"/>
            </w:rPr>
            <m:t xml:space="preserve">−</m:t>
          </m:r>
          <m:r>
            <w:rPr>
              <w:rFonts w:ascii="Cambria Math" w:hAnsi="Cambria Math"/>
            </w:rPr>
            <m:t xml:space="preserve">1,42225</m:t>
          </m:r>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w:rPr>
              <w:rFonts w:ascii="Cambria Math" w:hAnsi="Cambria Math"/>
            </w:rPr>
            <m:t xml:space="preserve">−</m:t>
          </m:r>
          <m:r>
            <w:rPr>
              <w:rFonts w:ascii="Cambria Math" w:hAnsi="Cambria Math"/>
            </w:rPr>
            <m:t xml:space="preserve">1</m:t>
          </m:r>
          <m:r>
            <w:rPr>
              <w:rFonts w:ascii="Cambria Math" w:hAnsi="Cambria Math"/>
            </w:rPr>
            <m:t xml:space="preserve">−</m:t>
          </m:r>
          <m:d>
            <m:dPr>
              <m:begChr m:val="("/>
              <m:endChr m:val=")"/>
            </m:dPr>
            <m:e>
              <m:r>
                <w:rPr>
                  <w:rFonts w:ascii="Cambria Math" w:hAnsi="Cambria Math"/>
                </w:rPr>
                <m:t xml:space="preserve">−</m:t>
              </m:r>
              <m:r>
                <w:rPr>
                  <w:rFonts w:ascii="Cambria Math" w:hAnsi="Cambria Math"/>
                </w:rPr>
                <m:t xml:space="preserve">1,42225</m:t>
              </m:r>
            </m:e>
          </m:d>
          <m:r>
            <w:rPr>
              <w:rFonts w:ascii="Cambria Math" w:hAnsi="Cambria Math"/>
            </w:rPr>
            <m:t xml:space="preserve">=</m:t>
          </m:r>
          <m:r>
            <w:rPr>
              <w:rFonts w:ascii="Cambria Math" w:hAnsi="Cambria Math"/>
            </w:rPr>
            <m:t xml:space="preserve">0,42225</m:t>
          </m:r>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0,42225</m:t>
              </m:r>
            </m:num>
            <m:den>
              <m:r>
                <w:rPr>
                  <w:rFonts w:ascii="Cambria Math" w:hAnsi="Cambria Math"/>
                </w:rPr>
                <m:t xml:space="preserve">−</m:t>
              </m:r>
              <m:r>
                <w:rPr>
                  <w:rFonts w:ascii="Cambria Math" w:hAnsi="Cambria Math"/>
                </w:rPr>
                <m:t xml:space="preserve">1,42225</m:t>
              </m:r>
            </m:den>
          </m:f>
          <m:r>
            <w:rPr>
              <w:rFonts w:ascii="Cambria Math" w:hAnsi="Cambria Math"/>
            </w:rPr>
            <m:t xml:space="preserve">=</m:t>
          </m:r>
          <m:r>
            <w:rPr>
              <w:rFonts w:ascii="Cambria Math" w:hAnsi="Cambria Math"/>
            </w:rPr>
            <m:t xml:space="preserve">−</m:t>
          </m:r>
          <m:r>
            <w:rPr>
              <w:rFonts w:ascii="Cambria Math" w:hAnsi="Cambria Math"/>
            </w:rPr>
            <m:t xml:space="preserve">29,68887</m:t>
          </m:r>
          <m:d>
            <m:dPr>
              <m:begChr m:val="("/>
              <m:endChr m:val=")"/>
            </m:dPr>
            <m:e>
              <m:r>
                <m:rPr>
                  <m:lit/>
                  <m:nor/>
                </m:rPr>
                <w:rPr>
                  <w:rFonts w:ascii="Cambria Math" w:hAnsi="Cambria Math"/>
                </w:rPr>
                <m:t xml:space="preserve">%</m:t>
              </m:r>
            </m:e>
          </m:d>
        </m:oMath>
      </m:oMathPara>
    </w:p>
    <w:p>
      <w:pPr>
        <w:pStyle w:val="Nadpis3"/>
        <w:rPr/>
      </w:pPr>
      <w:r>
        <w:rPr/>
        <w:t>Měření vstupního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R</m:t>
                      </m:r>
                    </m:e>
                    <m:sub>
                      <m:r>
                        <w:rPr>
                          <w:rFonts w:ascii="Cambria Math" w:hAnsi="Cambria Math"/>
                        </w:rPr>
                        <m:t xml:space="preserve">1</m:t>
                      </m:r>
                    </m:sub>
                  </m:sSub>
                </m:den>
              </m:f>
            </m:den>
          </m:f>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sSub>
                <m:e>
                  <m:r>
                    <w:rPr>
                      <w:rFonts w:ascii="Cambria Math" w:hAnsi="Cambria Math"/>
                    </w:rPr>
                    <m:t xml:space="preserve">R</m:t>
                  </m:r>
                </m:e>
                <m:sub>
                  <m:r>
                    <w:rPr>
                      <w:rFonts w:ascii="Cambria Math" w:hAnsi="Cambria Math"/>
                    </w:rPr>
                    <m:t xml:space="preserve">1</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w:rPr>
              <w:rFonts w:ascii="Cambria Math" w:hAnsi="Cambria Math"/>
            </w:rPr>
            <m:t xml:space="preserve">000</m:t>
          </m:r>
          <m:d>
            <m:dPr>
              <m:begChr m:val="("/>
              <m:endChr m:val=")"/>
            </m:dPr>
            <m:e>
              <m:r>
                <w:rPr>
                  <w:rFonts w:ascii="Cambria Math" w:hAnsi="Cambria Math"/>
                </w:rPr>
                <m:t xml:space="preserve">Ω</m:t>
              </m:r>
            </m:e>
          </m:d>
        </m:oMath>
      </m:oMathPara>
    </w:p>
    <w:p>
      <w:pPr>
        <w:pStyle w:val="Normal"/>
        <w:jc w:val="center"/>
        <w:rPr/>
      </w:pPr>
      <w:r>
        <w:rPr/>
      </w:r>
    </w:p>
    <w:p>
      <w:pPr>
        <w:pStyle w:val="Nadpis3"/>
        <w:rPr/>
      </w:pPr>
      <w:r>
        <w:rPr/>
        <w:t>Měření výstupního odporu invertujícího OZ</w:t>
      </w:r>
    </w:p>
    <w:p>
      <w:pPr>
        <w:pStyle w:val="Normal"/>
        <w:jc w:val="center"/>
        <w:rPr/>
      </w:pPr>
      <w:r>
        <w:rPr/>
      </w:r>
      <m:oMathPara xmlns:m="http://schemas.openxmlformats.org/officeDocument/2006/math">
        <m:oMathParaPr>
          <m:jc m:val="center"/>
        </m:oMathParaPr>
        <m:oMath>
          <m:sSub>
            <m:e>
              <m:r>
                <w:rPr>
                  <w:rFonts w:ascii="Cambria Math" w:hAnsi="Cambria Math"/>
                </w:rPr>
                <m:t xml:space="preserve">R</m:t>
              </m:r>
            </m:e>
            <m:sub>
              <m:sSub>
                <m:e>
                  <m:r>
                    <m:rPr>
                      <m:lit/>
                      <m:nor/>
                    </m:rPr>
                    <w:rPr>
                      <w:rFonts w:ascii="Cambria Math" w:hAnsi="Cambria Math"/>
                    </w:rPr>
                    <m:t xml:space="preserve">výst</m:t>
                  </m:r>
                </m:e>
                <m:sub>
                  <m:sSub>
                    <m:e>
                      <m:r>
                        <m:rPr>
                          <m:lit/>
                          <m:nor/>
                        </m:rPr>
                        <w:rPr>
                          <w:rFonts w:ascii="Cambria Math" w:hAnsi="Cambria Math"/>
                        </w:rPr>
                        <m:t xml:space="preserve">invert</m:t>
                      </m:r>
                    </m:e>
                    <m:sub>
                      <m:r>
                        <m:rPr>
                          <m:lit/>
                          <m:nor/>
                        </m:rPr>
                        <w:rPr>
                          <w:rFonts w:ascii="Cambria Math" w:hAnsi="Cambria Math"/>
                        </w:rPr>
                        <m:t xml:space="preserve">OZ</m:t>
                      </m:r>
                    </m:sub>
                  </m:sSub>
                </m:sub>
              </m:sSub>
            </m:sub>
          </m:sSub>
          <m:r>
            <w:rPr>
              <w:rFonts w:ascii="Cambria Math" w:hAnsi="Cambria Math"/>
            </w:rPr>
            <m:t xml:space="preserve">=</m:t>
          </m:r>
          <m:d>
            <m:dPr>
              <m:begChr m:val="|"/>
              <m:endChr m:val="|"/>
            </m:dPr>
            <m:e>
              <m:f>
                <m:num>
                  <m:sSub>
                    <m:e>
                      <m:r>
                        <w:rPr>
                          <w:rFonts w:ascii="Cambria Math" w:hAnsi="Cambria Math"/>
                        </w:rPr>
                        <m:t xml:space="preserve">ΔU</m:t>
                      </m:r>
                    </m:e>
                    <m:sub>
                      <m:r>
                        <w:rPr>
                          <w:rFonts w:ascii="Cambria Math" w:hAnsi="Cambria Math"/>
                        </w:rPr>
                        <m:t xml:space="preserve">2</m:t>
                      </m:r>
                    </m:sub>
                  </m:sSub>
                </m:num>
                <m:den>
                  <m:sSub>
                    <m:e>
                      <m:r>
                        <w:rPr>
                          <w:rFonts w:ascii="Cambria Math" w:hAnsi="Cambria Math"/>
                        </w:rPr>
                        <m:t xml:space="preserve">−</m:t>
                      </m:r>
                      <m:r>
                        <w:rPr>
                          <w:rFonts w:ascii="Cambria Math" w:hAnsi="Cambria Math"/>
                        </w:rPr>
                        <m:t xml:space="preserve">ΔI</m:t>
                      </m:r>
                    </m:e>
                    <m:sub>
                      <m:r>
                        <w:rPr>
                          <w:rFonts w:ascii="Cambria Math" w:hAnsi="Cambria Math"/>
                        </w:rPr>
                        <m:t xml:space="preserve">2</m:t>
                      </m:r>
                    </m:sub>
                  </m:sSub>
                </m:den>
              </m:f>
            </m:e>
          </m:d>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0</m:t>
              </m:r>
              <m:r>
                <w:rPr>
                  <w:rFonts w:ascii="Cambria Math" w:hAnsi="Cambria Math"/>
                </w:rPr>
                <m:t xml:space="preserve">,04</m:t>
              </m:r>
              <m:r>
                <w:rPr>
                  <w:rFonts w:ascii="Cambria Math" w:hAnsi="Cambria Math"/>
                </w:rPr>
                <m:t xml:space="preserve">+</m:t>
              </m:r>
              <m:r>
                <w:rPr>
                  <w:rFonts w:ascii="Cambria Math" w:hAnsi="Cambria Math"/>
                </w:rPr>
                <m:t xml:space="preserve">0,05689</m:t>
              </m:r>
            </m:num>
            <m:den>
              <m:f>
                <m:num>
                  <m:r>
                    <w:rPr>
                      <w:rFonts w:ascii="Cambria Math" w:hAnsi="Cambria Math"/>
                    </w:rPr>
                    <m:t xml:space="preserve">−</m:t>
                  </m:r>
                  <m:r>
                    <w:rPr>
                      <w:rFonts w:ascii="Cambria Math" w:hAnsi="Cambria Math"/>
                    </w:rPr>
                    <m:t xml:space="preserve">0,05689</m:t>
                  </m:r>
                </m:num>
                <m:den>
                  <m:r>
                    <w:rPr>
                      <w:rFonts w:ascii="Cambria Math" w:hAnsi="Cambria Math"/>
                    </w:rPr>
                    <m:t xml:space="preserve">1000</m:t>
                  </m:r>
                </m:den>
              </m:f>
              <m:r>
                <w:rPr>
                  <w:rFonts w:ascii="Cambria Math" w:hAnsi="Cambria Math"/>
                </w:rPr>
                <m:t xml:space="preserve">+</m:t>
              </m:r>
              <m:r>
                <w:rPr>
                  <w:rFonts w:ascii="Cambria Math" w:hAnsi="Cambria Math"/>
                </w:rPr>
                <m:t xml:space="preserve">0,00004</m:t>
              </m:r>
            </m:den>
          </m:f>
          <m:r>
            <w:rPr>
              <w:rFonts w:ascii="Cambria Math" w:hAnsi="Cambria Math"/>
            </w:rPr>
            <m:t xml:space="preserve">=</m:t>
          </m:r>
          <m:f>
            <m:num>
              <m:r>
                <w:rPr>
                  <w:rFonts w:ascii="Cambria Math" w:hAnsi="Cambria Math"/>
                </w:rPr>
                <m:t xml:space="preserve">0,09689</m:t>
              </m:r>
            </m:num>
            <m:den>
              <m:r>
                <w:rPr>
                  <w:rFonts w:ascii="Cambria Math" w:hAnsi="Cambria Math"/>
                </w:rPr>
                <m:t xml:space="preserve">−</m:t>
              </m:r>
              <m:r>
                <w:rPr>
                  <w:rFonts w:ascii="Cambria Math" w:hAnsi="Cambria Math"/>
                </w:rPr>
                <m:t xml:space="preserve">0,00009689</m:t>
              </m:r>
            </m:den>
          </m:f>
          <m:r>
            <w:rPr>
              <w:rFonts w:ascii="Cambria Math" w:hAnsi="Cambria Math"/>
            </w:rPr>
            <m:t xml:space="preserve">=</m:t>
          </m:r>
          <m:r>
            <w:rPr>
              <w:rFonts w:ascii="Cambria Math" w:hAnsi="Cambria Math"/>
            </w:rPr>
            <m:t xml:space="preserve">1000</m:t>
          </m:r>
          <m:d>
            <m:dPr>
              <m:begChr m:val="("/>
              <m:endChr m:val=")"/>
            </m:dPr>
            <m:e>
              <m:r>
                <w:rPr>
                  <w:rFonts w:ascii="Cambria Math" w:hAnsi="Cambria Math"/>
                </w:rPr>
                <m:t xml:space="preserve">Ω</m:t>
              </m:r>
            </m:e>
          </m:d>
        </m:oMath>
      </m:oMathPara>
    </w:p>
    <w:p>
      <w:pPr>
        <w:pStyle w:val="Normal"/>
        <w:jc w:val="center"/>
        <w:rPr/>
      </w:pPr>
      <w:r>
        <w:rPr/>
      </w:r>
    </w:p>
    <w:p>
      <w:pPr>
        <w:pStyle w:val="Normal"/>
        <w:rPr/>
      </w:pPr>
      <w:r>
        <w:rPr/>
        <w:t>Proveďte kontrolní výpočet skutečného zesílení a jeho chyby absolutní i relativní pro jeden z řádků tabulky. Pro identifikaci vyplňte následující údaje:</w:t>
      </w:r>
    </w:p>
    <w:p>
      <w:pPr>
        <w:pStyle w:val="Caption1"/>
        <w:keepNext w:val="true"/>
        <w:rPr/>
      </w:pPr>
      <w:r>
        <w:rPr/>
        <w:t xml:space="preserve">Tabulka </w:t>
      </w:r>
      <w:r>
        <w:rPr/>
        <w:fldChar w:fldCharType="begin"/>
      </w:r>
      <w:r>
        <w:rPr/>
        <w:instrText xml:space="preserve"> SEQ Tabulka \* ARABIC </w:instrText>
      </w:r>
      <w:r>
        <w:rPr/>
        <w:fldChar w:fldCharType="separate"/>
      </w:r>
      <w:r>
        <w:rPr/>
        <w:t>10</w:t>
      </w:r>
      <w:r>
        <w:rPr/>
        <w:fldChar w:fldCharType="end"/>
      </w:r>
      <w:r>
        <w:rPr/>
        <w:t>: Měření chyby zesílení neinvertujícího OZ</w:t>
      </w:r>
    </w:p>
    <w:tbl>
      <w:tblPr>
        <w:tblW w:w="748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3"/>
        <w:gridCol w:w="1804"/>
        <w:gridCol w:w="1937"/>
        <w:gridCol w:w="1937"/>
      </w:tblGrid>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1</w:t>
            </w:r>
            <w:r>
              <w:rPr>
                <w:b/>
                <w:bCs/>
              </w:rPr>
              <w:t xml:space="preserve"> </w:t>
            </w:r>
            <w:r>
              <w:rPr>
                <w:b/>
                <w:bCs/>
                <w:lang w:val="de-DE"/>
              </w:rPr>
              <w:t>(</w:t>
            </w:r>
            <w:r>
              <w:rPr>
                <w:rFonts w:ascii="Symbol" w:hAnsi="Symbol"/>
                <w:b/>
                <w:bCs/>
                <w:lang w:val="en-US"/>
              </w:rPr>
              <w:t></w:t>
            </w:r>
            <w:r>
              <w:rPr>
                <w:b/>
                <w:bCs/>
                <w:lang w:val="de-DE"/>
              </w:rPr>
              <w:t>)</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1</w:t>
            </w:r>
            <w:r>
              <w:rPr>
                <w:b/>
                <w:bCs/>
              </w:rPr>
              <w:t xml:space="preserve"> </w:t>
            </w:r>
            <w:r>
              <w:rPr>
                <w:b/>
                <w:bCs/>
                <w:lang w:val="de-DE"/>
              </w:rPr>
              <w:t>(</w:t>
            </w:r>
            <w:r>
              <w:rPr>
                <w:b/>
                <w:bCs/>
                <w:lang w:val="de-DE"/>
              </w:rPr>
              <w:t>V</w:t>
            </w:r>
            <w:r>
              <w:rPr>
                <w:b/>
                <w:bCs/>
                <w:lang w:val="de-DE"/>
              </w:rPr>
              <w:t>)</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U</w:t>
            </w:r>
            <w:r>
              <w:rPr>
                <w:b/>
                <w:bCs/>
                <w:vertAlign w:val="subscript"/>
              </w:rPr>
              <w:t>2</w:t>
            </w:r>
            <w:r>
              <w:rPr>
                <w:b/>
                <w:bCs/>
              </w:rPr>
              <w:t xml:space="preserve"> </w:t>
            </w:r>
            <w:r>
              <w:rPr>
                <w:b/>
                <w:bCs/>
                <w:lang w:val="de-DE"/>
              </w:rPr>
              <w:t>(</w:t>
            </w:r>
            <w:r>
              <w:rPr>
                <w:b/>
                <w:bCs/>
                <w:lang w:val="de-DE"/>
              </w:rPr>
              <w:t>V</w:t>
            </w:r>
            <w:r>
              <w:rPr>
                <w:b/>
                <w:bCs/>
                <w:lang w:val="de-DE"/>
              </w:rPr>
              <w:t>)</w:t>
            </w:r>
          </w:p>
        </w:tc>
      </w:tr>
      <w:tr>
        <w:trPr/>
        <w:tc>
          <w:tcPr>
            <w:tcW w:w="180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804"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1000</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0,4</w:t>
            </w:r>
          </w:p>
        </w:tc>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0,8318</w:t>
            </w:r>
          </w:p>
        </w:tc>
      </w:tr>
    </w:tbl>
    <w:p>
      <w:pPr>
        <w:pStyle w:val="Normal"/>
        <w:jc w:val="center"/>
        <w:rPr/>
      </w:pPr>
      <w:r>
        <w:rPr/>
      </w:r>
    </w:p>
    <w:p>
      <w:pPr>
        <w:pStyle w:val="Normal"/>
        <w:rPr/>
      </w:pPr>
      <w:r>
        <w:rPr/>
        <w:t>Skutečné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U</m:t>
                  </m:r>
                </m:e>
                <m:sub>
                  <m:r>
                    <w:rPr>
                      <w:rFonts w:ascii="Cambria Math" w:hAnsi="Cambria Math"/>
                    </w:rPr>
                    <m:t xml:space="preserve">1</m:t>
                  </m:r>
                </m:sub>
              </m:sSub>
            </m:den>
          </m:f>
          <m:r>
            <w:rPr>
              <w:rFonts w:ascii="Cambria Math" w:hAnsi="Cambria Math"/>
            </w:rPr>
            <m:t xml:space="preserve">=</m:t>
          </m:r>
          <m:f>
            <m:num>
              <m:r>
                <w:rPr>
                  <w:rFonts w:ascii="Cambria Math" w:hAnsi="Cambria Math"/>
                </w:rPr>
                <m:t xml:space="preserve">0,8318</m:t>
              </m:r>
            </m:num>
            <m:den>
              <m:r>
                <w:rPr>
                  <w:rFonts w:ascii="Cambria Math" w:hAnsi="Cambria Math"/>
                </w:rPr>
                <m:t xml:space="preserve">0</m:t>
              </m:r>
              <m:r>
                <w:rPr>
                  <w:rFonts w:ascii="Cambria Math" w:hAnsi="Cambria Math"/>
                </w:rPr>
                <m:t xml:space="preserve">,4</m:t>
              </m:r>
            </m:den>
          </m:f>
          <m:r>
            <w:rPr>
              <w:rFonts w:ascii="Cambria Math" w:hAnsi="Cambria Math"/>
            </w:rPr>
            <m:t xml:space="preserve">=</m:t>
          </m:r>
          <m:r>
            <w:rPr>
              <w:rFonts w:ascii="Cambria Math" w:hAnsi="Cambria Math"/>
            </w:rPr>
            <m:t xml:space="preserve">2,0795</m:t>
          </m:r>
        </m:oMath>
      </m:oMathPara>
    </w:p>
    <w:p>
      <w:pPr>
        <w:pStyle w:val="Normal"/>
        <w:rPr/>
      </w:pPr>
      <w:r>
        <w:rPr/>
        <w:t>Absolutní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Ujmenovité</m:t>
              </m:r>
            </m:sub>
          </m:sSub>
          <m:r>
            <w:rPr>
              <w:rFonts w:ascii="Cambria Math" w:hAnsi="Cambria Math"/>
            </w:rPr>
            <m:t xml:space="preserve">−</m:t>
          </m:r>
          <m:sSub>
            <m:e>
              <m:r>
                <w:rPr>
                  <w:rFonts w:ascii="Cambria Math" w:hAnsi="Cambria Math"/>
                </w:rPr>
                <m:t xml:space="preserve">A</m:t>
              </m:r>
            </m:e>
            <m:sub>
              <m:r>
                <m:rPr>
                  <m:lit/>
                  <m:nor/>
                </m:rPr>
                <w:rPr>
                  <w:rFonts w:ascii="Cambria Math" w:hAnsi="Cambria Math"/>
                </w:rPr>
                <m:t xml:space="preserve">Uskut</m:t>
              </m:r>
            </m:sub>
          </m:sSub>
          <m:r>
            <w:rPr>
              <w:rFonts w:ascii="Cambria Math" w:hAnsi="Cambria Math"/>
            </w:rPr>
            <m:t xml:space="preserve">=</m:t>
          </m:r>
          <m:r>
            <w:rPr>
              <w:rFonts w:ascii="Cambria Math" w:hAnsi="Cambria Math"/>
            </w:rPr>
            <m:t xml:space="preserve">2</m:t>
          </m:r>
          <m:r>
            <w:rPr>
              <w:rFonts w:ascii="Cambria Math" w:hAnsi="Cambria Math"/>
            </w:rPr>
            <m:t xml:space="preserve">−</m:t>
          </m:r>
          <m:r>
            <w:rPr>
              <w:rFonts w:ascii="Cambria Math" w:hAnsi="Cambria Math"/>
            </w:rPr>
            <m:t xml:space="preserve">2,0795</m:t>
          </m:r>
          <m:r>
            <w:rPr>
              <w:rFonts w:ascii="Cambria Math" w:hAnsi="Cambria Math"/>
            </w:rPr>
            <m:t xml:space="preserve">=</m:t>
          </m:r>
          <m:r>
            <w:rPr>
              <w:rFonts w:ascii="Cambria Math" w:hAnsi="Cambria Math"/>
            </w:rPr>
            <m:t xml:space="preserve">−</m:t>
          </m:r>
          <m:r>
            <w:rPr>
              <w:rFonts w:ascii="Cambria Math" w:hAnsi="Cambria Math"/>
            </w:rPr>
            <m:t xml:space="preserve">0,0795</m:t>
          </m:r>
        </m:oMath>
      </m:oMathPara>
    </w:p>
    <w:p>
      <w:pPr>
        <w:pStyle w:val="Normal"/>
        <w:rPr/>
      </w:pPr>
      <w:r>
        <w:rPr/>
        <w:t>Relativní chyba zesílení:</w:t>
      </w:r>
    </w:p>
    <w:p>
      <w:pPr>
        <w:pStyle w:val="Normal"/>
        <w:jc w:val="center"/>
        <w:rPr/>
      </w:pPr>
      <w:r>
        <w:rPr/>
      </w:r>
      <m:oMathPara xmlns:m="http://schemas.openxmlformats.org/officeDocument/2006/math">
        <m:oMathParaPr>
          <m:jc m:val="center"/>
        </m:oMathParaPr>
        <m:oMath>
          <m:sSub>
            <m:e>
              <m:r>
                <w:rPr>
                  <w:rFonts w:ascii="Cambria Math" w:hAnsi="Cambria Math"/>
                </w:rPr>
                <m:t xml:space="preserve">δA</m:t>
              </m:r>
            </m:e>
            <m:sub>
              <m:r>
                <w:rPr>
                  <w:rFonts w:ascii="Cambria Math" w:hAnsi="Cambria Math"/>
                </w:rPr>
                <m:t xml:space="preserve">U</m:t>
              </m:r>
            </m:sub>
          </m:sSub>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sSub>
                <m:e>
                  <m:r>
                    <w:rPr>
                      <w:rFonts w:ascii="Cambria Math" w:hAnsi="Cambria Math"/>
                    </w:rPr>
                    <m:t xml:space="preserve">ΔA</m:t>
                  </m:r>
                </m:e>
                <m:sub>
                  <m:r>
                    <w:rPr>
                      <w:rFonts w:ascii="Cambria Math" w:hAnsi="Cambria Math"/>
                    </w:rPr>
                    <m:t xml:space="preserve">U</m:t>
                  </m:r>
                </m:sub>
              </m:sSub>
            </m:num>
            <m:den>
              <m:sSub>
                <m:e>
                  <m:r>
                    <w:rPr>
                      <w:rFonts w:ascii="Cambria Math" w:hAnsi="Cambria Math"/>
                    </w:rPr>
                    <m:t xml:space="preserve">A</m:t>
                  </m:r>
                </m:e>
                <m:sub>
                  <m:r>
                    <m:rPr>
                      <m:lit/>
                      <m:nor/>
                    </m:rPr>
                    <w:rPr>
                      <w:rFonts w:ascii="Cambria Math" w:hAnsi="Cambria Math"/>
                    </w:rPr>
                    <m:t xml:space="preserve">Uskut</m:t>
                  </m:r>
                </m:sub>
              </m:sSub>
            </m:den>
          </m:f>
          <m:r>
            <w:rPr>
              <w:rFonts w:ascii="Cambria Math" w:hAnsi="Cambria Math"/>
            </w:rPr>
            <m:t xml:space="preserve">=</m:t>
          </m:r>
          <m:r>
            <m:rPr>
              <m:lit/>
              <m:nor/>
            </m:rPr>
            <w:rPr>
              <w:rFonts w:ascii="Cambria Math" w:hAnsi="Cambria Math"/>
            </w:rPr>
            <m:t xml:space="preserve">100</m:t>
          </m:r>
          <m:r>
            <w:rPr>
              <w:rFonts w:ascii="Cambria Math" w:hAnsi="Cambria Math"/>
            </w:rPr>
            <m:t xml:space="preserve">∗</m:t>
          </m:r>
          <m:f>
            <m:num>
              <m:r>
                <w:rPr>
                  <w:rFonts w:ascii="Cambria Math" w:hAnsi="Cambria Math"/>
                </w:rPr>
                <m:t xml:space="preserve">−</m:t>
              </m:r>
              <m:r>
                <w:rPr>
                  <w:rFonts w:ascii="Cambria Math" w:hAnsi="Cambria Math"/>
                </w:rPr>
                <m:t xml:space="preserve">0,0795</m:t>
              </m:r>
            </m:num>
            <m:den>
              <m:r>
                <w:rPr>
                  <w:rFonts w:ascii="Cambria Math" w:hAnsi="Cambria Math"/>
                </w:rPr>
                <m:t xml:space="preserve">2,0795</m:t>
              </m:r>
            </m:den>
          </m:f>
          <m:r>
            <w:rPr>
              <w:rFonts w:ascii="Cambria Math" w:hAnsi="Cambria Math"/>
            </w:rPr>
            <m:t xml:space="preserve">=</m:t>
          </m:r>
          <m:r>
            <w:rPr>
              <w:rFonts w:ascii="Cambria Math" w:hAnsi="Cambria Math"/>
            </w:rPr>
            <m:t xml:space="preserve">−</m:t>
          </m:r>
          <m:r>
            <w:rPr>
              <w:rFonts w:ascii="Cambria Math" w:hAnsi="Cambria Math"/>
            </w:rPr>
            <m:t xml:space="preserve">3,82303</m:t>
          </m:r>
          <m:d>
            <m:dPr>
              <m:begChr m:val="("/>
              <m:endChr m:val=")"/>
            </m:dPr>
            <m:e>
              <m:r>
                <m:rPr>
                  <m:lit/>
                  <m:nor/>
                </m:rPr>
                <w:rPr>
                  <w:rFonts w:ascii="Cambria Math" w:hAnsi="Cambria Math"/>
                </w:rPr>
                <m:t xml:space="preserve">%</m:t>
              </m:r>
            </m:e>
          </m:d>
        </m:oMath>
      </m:oMathPara>
    </w:p>
    <w:p>
      <w:pPr>
        <w:pStyle w:val="Normal"/>
        <w:jc w:val="center"/>
        <w:rPr/>
      </w:pPr>
      <w:r>
        <w:rPr/>
      </w:r>
    </w:p>
    <w:p>
      <w:pPr>
        <w:pStyle w:val="Nadpis2"/>
        <w:rPr/>
      </w:pPr>
      <w:r>
        <w:rPr/>
        <w:t>Tabulky vypočtených hodnot</w:t>
      </w:r>
    </w:p>
    <w:p>
      <w:pPr>
        <w:pStyle w:val="Caption1"/>
        <w:keepNext w:val="true"/>
        <w:rPr/>
      </w:pPr>
      <w:r>
        <w:rPr/>
        <w:t xml:space="preserve">Tabulka </w:t>
      </w:r>
      <w:r>
        <w:rPr/>
        <w:fldChar w:fldCharType="begin"/>
      </w:r>
      <w:r>
        <w:rPr/>
        <w:instrText xml:space="preserve"> SEQ Tabulka \* ARABIC </w:instrText>
      </w:r>
      <w:r>
        <w:rPr/>
        <w:fldChar w:fldCharType="separate"/>
      </w:r>
      <w:r>
        <w:rPr/>
        <w:t>11</w:t>
      </w:r>
      <w:r>
        <w:rPr/>
        <w:fldChar w:fldCharType="end"/>
      </w:r>
      <w:r>
        <w:rPr/>
        <w:t>: Měření chyby zesílení invertujícího zesilovače (A</w:t>
      </w:r>
      <w:r>
        <w:rPr>
          <w:vertAlign w:val="subscript"/>
        </w:rPr>
        <w:t>U jmenovité</w:t>
      </w:r>
      <w:r>
        <w:rPr/>
        <w:t xml:space="preserve"> = -1)</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1"/>
        <w:gridCol w:w="1939"/>
        <w:gridCol w:w="1882"/>
        <w:gridCol w:w="1707"/>
        <w:gridCol w:w="1883"/>
      </w:tblGrid>
      <w:tr>
        <w:trPr>
          <w:tblHeader w:val="true"/>
          <w:cantSplit w:val="true"/>
        </w:trPr>
        <w:tc>
          <w:tcPr>
            <w:tcW w:w="180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xml:space="preserve">( </w:t>
            </w:r>
            <w:r>
              <w:rPr>
                <w:b/>
                <w:bCs/>
                <w:lang w:val="de-DE"/>
              </w:rPr>
              <w:t xml:space="preserve">- </w:t>
            </w:r>
            <w:r>
              <w:rPr>
                <w:b/>
                <w:bCs/>
                <w:lang w:val="de-DE"/>
              </w:rPr>
              <w:t>)</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1,42225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0,42225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29,68887</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-1,42275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0,42275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29,71358</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1,42350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0,42350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29,75061</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1,04075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0,04075</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3,91545</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1,04075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0,04075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3,91545</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1,04100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0,04100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-3,93852</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1,00225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0,00225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0,22449</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1,00250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0,24937</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1,00275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0,00275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0,27425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12</w:t>
      </w:r>
      <w:r>
        <w:rPr/>
        <w:fldChar w:fldCharType="end"/>
      </w:r>
      <w:r>
        <w:rPr/>
        <w:t>: Měření chyby zesílení 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A</w:t>
            </w:r>
            <w:r>
              <w:rPr>
                <w:b/>
                <w:bCs/>
                <w:vertAlign w:val="subscript"/>
              </w:rPr>
              <w:t>U jmenovité</w:t>
            </w:r>
            <w:r>
              <w:rPr>
                <w:b/>
                <w:bCs/>
              </w:rPr>
              <w:t xml:space="preserve"> </w:t>
            </w:r>
            <w:r>
              <w:rPr>
                <w:b/>
                <w:bCs/>
                <w:lang w:val="de-DE"/>
              </w:rPr>
              <w:t>( - )</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87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75"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0,4205</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29,60225</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4,2050</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29,60225</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142,05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42,050</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29,60225</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13</w:t>
      </w:r>
      <w:r>
        <w:rPr/>
        <w:fldChar w:fldCharType="end"/>
      </w:r>
      <w:r>
        <w:rPr/>
        <w:t>: Měření chyby zesílení neinvertujícího zesilovače (A</w:t>
      </w:r>
      <w:r>
        <w:rPr>
          <w:vertAlign w:val="subscript"/>
        </w:rPr>
        <w:t>U jmenovité</w:t>
      </w:r>
      <w:r>
        <w:rPr/>
        <w:t xml:space="preserve"> = 2)</w:t>
      </w:r>
    </w:p>
    <w:tbl>
      <w:tblPr>
        <w:tblW w:w="9212"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801"/>
        <w:gridCol w:w="1939"/>
        <w:gridCol w:w="1882"/>
        <w:gridCol w:w="1707"/>
        <w:gridCol w:w="1883"/>
      </w:tblGrid>
      <w:tr>
        <w:trPr>
          <w:tblHeader w:val="true"/>
          <w:cantSplit w:val="true"/>
        </w:trPr>
        <w:tc>
          <w:tcPr>
            <w:tcW w:w="180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R</w:t>
            </w:r>
            <w:r>
              <w:rPr>
                <w:b/>
                <w:bCs/>
                <w:vertAlign w:val="subscript"/>
              </w:rPr>
              <w:t>1</w:t>
            </w:r>
            <w:r>
              <w:rPr>
                <w:b/>
                <w:bCs/>
              </w:rPr>
              <w:t xml:space="preserve"> = </w:t>
            </w:r>
            <w:r>
              <w:rPr>
                <w:b/>
                <w:bCs/>
                <w:i/>
                <w:iCs/>
              </w:rPr>
              <w:t>R</w:t>
            </w:r>
            <w:r>
              <w:rPr>
                <w:b/>
                <w:bCs/>
                <w:vertAlign w:val="subscript"/>
              </w:rPr>
              <w:t>2</w:t>
            </w:r>
            <w:r>
              <w:rPr>
                <w:b/>
                <w:bCs/>
              </w:rPr>
              <w:t xml:space="preserve"> </w:t>
            </w:r>
            <w:r>
              <w:rPr>
                <w:b/>
                <w:bCs/>
                <w:lang w:val="de-DE"/>
              </w:rPr>
              <w:t>(</w:t>
            </w:r>
            <w:r>
              <w:rPr>
                <w:rFonts w:ascii="Symbol" w:hAnsi="Symbol"/>
                <w:b/>
                <w:bCs/>
                <w:lang w:val="en-US"/>
              </w:rPr>
              <w:t></w:t>
            </w:r>
            <w:r>
              <w:rPr>
                <w:b/>
                <w:bCs/>
                <w:lang w:val="de-DE"/>
              </w:rPr>
              <w:t>)</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2"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707"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3"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w:t>
            </w:r>
          </w:p>
        </w:tc>
      </w:tr>
      <w:tr>
        <w:trPr>
          <w:tblHeader w:val="true"/>
          <w:cantSplit w:val="true"/>
        </w:trPr>
        <w:tc>
          <w:tcPr>
            <w:tcW w:w="180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2"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7"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3"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29,14083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29,14083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2,82250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0,82250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29,14083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0,07950</w:t>
            </w:r>
          </w:p>
        </w:tc>
        <w:tc>
          <w:tcPr>
            <w:tcW w:w="1883"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3,82303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0,07950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3,82303</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2,07925</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0,07925</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3,81147</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2,00500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0,00500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0,24938</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2,00500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0,00500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0,24938</w:t>
            </w:r>
          </w:p>
        </w:tc>
      </w:tr>
      <w:tr>
        <w:trPr/>
        <w:tc>
          <w:tcPr>
            <w:tcW w:w="18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 K</w:t>
            </w:r>
          </w:p>
        </w:tc>
        <w:tc>
          <w:tcPr>
            <w:tcW w:w="1939"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2"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2,00450</w:t>
            </w:r>
          </w:p>
        </w:tc>
        <w:tc>
          <w:tcPr>
            <w:tcW w:w="1707"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0,00450</w:t>
            </w:r>
          </w:p>
        </w:tc>
        <w:tc>
          <w:tcPr>
            <w:tcW w:w="1883"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w:t>
            </w:r>
            <w:r>
              <w:rPr>
                <w:b/>
                <w:bCs/>
              </w:rPr>
              <w:t>0,22449</w:t>
            </w:r>
          </w:p>
        </w:tc>
      </w:tr>
    </w:tbl>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14</w:t>
      </w:r>
      <w:r>
        <w:rPr/>
        <w:fldChar w:fldCharType="end"/>
      </w:r>
      <w:r>
        <w:rPr/>
        <w:t>: Měření chyby zesílení neinvertujícího OZ pro malá napětí (různá jmenovitá zesílení)</w:t>
      </w:r>
    </w:p>
    <w:tbl>
      <w:tblPr>
        <w:tblW w:w="7251"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701"/>
        <w:gridCol w:w="1798"/>
        <w:gridCol w:w="1876"/>
        <w:gridCol w:w="1875"/>
      </w:tblGrid>
      <w:tr>
        <w:trPr>
          <w:tblHeader w:val="true"/>
          <w:trHeight w:val="414" w:hRule="atLeast"/>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i/>
                <w:iCs/>
              </w:rPr>
              <w:t>A</w:t>
            </w:r>
            <w:r>
              <w:rPr>
                <w:b/>
                <w:bCs/>
                <w:vertAlign w:val="subscript"/>
              </w:rPr>
              <w:t>U jmenovité</w:t>
            </w:r>
            <w:r>
              <w:rPr>
                <w:b/>
                <w:bCs/>
              </w:rPr>
              <w:t xml:space="preserve"> </w:t>
            </w:r>
            <w:r>
              <w:rPr>
                <w:b/>
                <w:bCs/>
                <w:lang w:val="en-US"/>
              </w:rPr>
              <w:t>( - )</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en-US"/>
              </w:rPr>
              <w:t>( -</w:t>
            </w:r>
            <w:r>
              <w:rPr>
                <w:b/>
                <w:bCs/>
                <w:lang w:val="en-US"/>
              </w:rPr>
              <w:t xml:space="preserve"> </w:t>
            </w:r>
            <w:r>
              <w:rPr>
                <w:b/>
                <w:bCs/>
                <w:lang w:val="en-US"/>
              </w:rPr>
              <w:t>)</w:t>
            </w:r>
          </w:p>
        </w:tc>
        <w:tc>
          <w:tcPr>
            <w:tcW w:w="1876"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 - )</w:t>
            </w:r>
          </w:p>
        </w:tc>
        <w:tc>
          <w:tcPr>
            <w:tcW w:w="1875"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en-US"/>
              </w:rPr>
              <w:t>(%)</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2,85</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0,85</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29,82456</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15,6</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4,6</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29,48718</w:t>
            </w:r>
          </w:p>
        </w:tc>
      </w:tr>
      <w:tr>
        <w:trPr>
          <w:cantSplit w:val="true"/>
        </w:trPr>
        <w:tc>
          <w:tcPr>
            <w:tcW w:w="170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101</w:t>
            </w:r>
          </w:p>
        </w:tc>
        <w:tc>
          <w:tcPr>
            <w:tcW w:w="1798"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143,1</w:t>
            </w:r>
          </w:p>
        </w:tc>
        <w:tc>
          <w:tcPr>
            <w:tcW w:w="1876"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42,1</w:t>
            </w:r>
          </w:p>
        </w:tc>
        <w:tc>
          <w:tcPr>
            <w:tcW w:w="1875"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29,41999</w:t>
            </w:r>
          </w:p>
        </w:tc>
      </w:tr>
    </w:tbl>
    <w:p>
      <w:pPr>
        <w:pStyle w:val="Normal"/>
        <w:jc w:val="center"/>
        <w:rPr/>
      </w:pPr>
      <w:r>
        <w:rPr/>
      </w:r>
    </w:p>
    <w:p>
      <w:pPr>
        <w:pStyle w:val="Normal"/>
        <w:jc w:val="center"/>
        <w:rPr/>
      </w:pPr>
      <w:r>
        <w:rPr/>
      </w:r>
    </w:p>
    <w:p>
      <w:pPr>
        <w:pStyle w:val="Caption1"/>
        <w:keepNext w:val="true"/>
        <w:rPr/>
      </w:pPr>
      <w:r>
        <w:rPr/>
        <w:t xml:space="preserve">Tabulka </w:t>
      </w:r>
      <w:r>
        <w:rPr/>
        <w:fldChar w:fldCharType="begin"/>
      </w:r>
      <w:r>
        <w:rPr/>
        <w:instrText xml:space="preserve"> SEQ Tabulka \* ARABIC </w:instrText>
      </w:r>
      <w:r>
        <w:rPr/>
        <w:fldChar w:fldCharType="separate"/>
      </w:r>
      <w:r>
        <w:rPr/>
        <w:t>15</w:t>
      </w:r>
      <w:r>
        <w:rPr/>
        <w:fldChar w:fldCharType="end"/>
      </w:r>
      <w:r>
        <w:rPr/>
        <w:t>: Měření chyby zesílení na napěťovém sledovači (A</w:t>
      </w:r>
      <w:r>
        <w:rPr>
          <w:vertAlign w:val="subscript"/>
        </w:rPr>
        <w:t>U jmenovité</w:t>
      </w:r>
      <w:r>
        <w:rPr/>
        <w:t xml:space="preserve"> = 1)</w:t>
      </w:r>
    </w:p>
    <w:tbl>
      <w:tblPr>
        <w:tblW w:w="7408" w:type="dxa"/>
        <w:jc w:val="center"/>
        <w:tblInd w:w="0" w:type="dxa"/>
        <w:tblLayout w:type="fixed"/>
        <w:tblCellMar>
          <w:top w:w="0" w:type="dxa"/>
          <w:left w:w="70" w:type="dxa"/>
          <w:bottom w:w="0" w:type="dxa"/>
          <w:right w:w="70" w:type="dxa"/>
        </w:tblCellMar>
        <w:tblLook w:val="0000" w:noHBand="0" w:noVBand="0" w:firstColumn="0" w:lastRow="0" w:lastColumn="0" w:firstRow="0"/>
      </w:tblPr>
      <w:tblGrid>
        <w:gridCol w:w="1937"/>
        <w:gridCol w:w="1881"/>
        <w:gridCol w:w="1709"/>
        <w:gridCol w:w="1880"/>
      </w:tblGrid>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U</w:t>
            </w:r>
            <w:r>
              <w:rPr>
                <w:b/>
                <w:bCs/>
                <w:vertAlign w:val="subscript"/>
              </w:rPr>
              <w:t>1</w:t>
            </w:r>
          </w:p>
        </w:tc>
        <w:tc>
          <w:tcPr>
            <w:tcW w:w="1881"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lang w:val="de-DE"/>
              </w:rPr>
            </w:pPr>
            <w:r>
              <w:rPr>
                <w:b/>
                <w:bCs/>
                <w:i/>
                <w:iCs/>
              </w:rPr>
              <w:t>A</w:t>
            </w:r>
            <w:r>
              <w:rPr>
                <w:b/>
                <w:bCs/>
                <w:vertAlign w:val="subscript"/>
              </w:rPr>
              <w:t>U skutečné</w:t>
            </w:r>
            <w:r>
              <w:rPr>
                <w:b/>
                <w:bCs/>
              </w:rPr>
              <w:t xml:space="preserve"> </w:t>
            </w:r>
            <w:r>
              <w:rPr>
                <w:b/>
                <w:bCs/>
                <w:lang w:val="de-DE"/>
              </w:rPr>
              <w:t>( - )</w:t>
            </w:r>
          </w:p>
        </w:tc>
        <w:tc>
          <w:tcPr>
            <w:tcW w:w="1709"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r>
              <w:rPr>
                <w:b/>
                <w:bCs/>
                <w:lang w:val="de-DE"/>
              </w:rPr>
              <w:t>( - )</w:t>
            </w:r>
          </w:p>
        </w:tc>
        <w:tc>
          <w:tcPr>
            <w:tcW w:w="1880" w:type="dxa"/>
            <w:vMerge w:val="restart"/>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rFonts w:ascii="Symbol" w:hAnsi="Symbol"/>
                <w:b/>
                <w:bCs/>
                <w:i/>
                <w:iCs/>
              </w:rPr>
              <w:t></w:t>
            </w:r>
            <w:r>
              <w:rPr>
                <w:b/>
                <w:bCs/>
                <w:i/>
                <w:iCs/>
              </w:rPr>
              <w:t>A</w:t>
            </w:r>
            <w:r>
              <w:rPr>
                <w:b/>
                <w:bCs/>
                <w:vertAlign w:val="subscript"/>
              </w:rPr>
              <w:t>U</w:t>
            </w:r>
            <w:r>
              <w:rPr>
                <w:b/>
                <w:bCs/>
              </w:rPr>
              <w:t xml:space="preserve"> (%)</w:t>
            </w:r>
          </w:p>
        </w:tc>
      </w:tr>
      <w:tr>
        <w:trPr>
          <w:tblHeader w:val="true"/>
          <w:cantSplit w:val="true"/>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hodnota řádově</w:t>
            </w:r>
          </w:p>
        </w:tc>
        <w:tc>
          <w:tcPr>
            <w:tcW w:w="1881"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709"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c>
          <w:tcPr>
            <w:tcW w:w="1880" w:type="dxa"/>
            <w:vMerge w:val="continue"/>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desítky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1,41750</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0,4175</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29,45326</w:t>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stovky mV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1,0405</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0,04050</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3,89236</w:t>
            </w:r>
          </w:p>
        </w:tc>
      </w:tr>
      <w:tr>
        <w:trPr/>
        <w:tc>
          <w:tcPr>
            <w:tcW w:w="1937"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jednotky V</w:t>
            </w:r>
          </w:p>
        </w:tc>
        <w:tc>
          <w:tcPr>
            <w:tcW w:w="1881" w:type="dxa"/>
            <w:tcBorders>
              <w:top w:val="single" w:sz="12" w:space="0" w:color="000000"/>
              <w:left w:val="single" w:sz="12" w:space="0" w:color="000000"/>
              <w:bottom w:val="single" w:sz="12" w:space="0" w:color="000000"/>
              <w:right w:val="single" w:sz="12" w:space="0" w:color="000000"/>
            </w:tcBorders>
          </w:tcPr>
          <w:p>
            <w:pPr>
              <w:pStyle w:val="Normal"/>
              <w:widowControl w:val="false"/>
              <w:spacing w:lineRule="auto" w:line="240" w:before="0" w:after="0"/>
              <w:jc w:val="center"/>
              <w:rPr>
                <w:b/>
                <w:bCs/>
              </w:rPr>
            </w:pPr>
            <w:r>
              <w:rPr>
                <w:b/>
                <w:bCs/>
              </w:rPr>
              <w:t>1,00275</w:t>
            </w:r>
          </w:p>
        </w:tc>
        <w:tc>
          <w:tcPr>
            <w:tcW w:w="1709"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0,00275</w:t>
            </w:r>
          </w:p>
        </w:tc>
        <w:tc>
          <w:tcPr>
            <w:tcW w:w="1880" w:type="dxa"/>
            <w:tcBorders>
              <w:top w:val="single" w:sz="12" w:space="0" w:color="000000"/>
              <w:left w:val="single" w:sz="12" w:space="0" w:color="000000"/>
              <w:bottom w:val="single" w:sz="12" w:space="0" w:color="000000"/>
              <w:right w:val="single" w:sz="12" w:space="0" w:color="000000"/>
            </w:tcBorders>
          </w:tcPr>
          <w:p>
            <w:pPr>
              <w:pStyle w:val="Zpat"/>
              <w:widowControl w:val="false"/>
              <w:tabs>
                <w:tab w:val="clear" w:pos="4536"/>
                <w:tab w:val="clear" w:pos="9072"/>
              </w:tabs>
              <w:spacing w:before="0" w:after="0"/>
              <w:jc w:val="center"/>
              <w:rPr>
                <w:b/>
                <w:bCs/>
              </w:rPr>
            </w:pPr>
            <w:r>
              <w:rPr>
                <w:b/>
                <w:bCs/>
              </w:rPr>
              <w:t>-</w:t>
            </w:r>
            <w:r>
              <w:rPr>
                <w:b/>
                <w:bCs/>
              </w:rPr>
              <w:t>0,27425</w:t>
            </w:r>
          </w:p>
        </w:tc>
      </w:tr>
    </w:tbl>
    <w:p>
      <w:pPr>
        <w:pStyle w:val="Normal"/>
        <w:jc w:val="center"/>
        <w:rPr/>
      </w:pPr>
      <w:r>
        <w:rPr/>
      </w:r>
    </w:p>
    <w:p>
      <w:pPr>
        <w:pStyle w:val="Normal"/>
        <w:jc w:val="center"/>
        <w:rPr/>
      </w:pPr>
      <w:r>
        <w:rPr/>
      </w:r>
    </w:p>
    <w:p>
      <w:pPr>
        <w:pStyle w:val="Nadpis2"/>
        <w:rPr/>
      </w:pPr>
      <w:r>
        <w:rPr/>
        <w:t>Grafické závislosti</w:t>
      </w:r>
    </w:p>
    <w:p>
      <w:pPr>
        <w:pStyle w:val="Normal"/>
        <w:rPr/>
      </w:pPr>
      <w:r>
        <w:rPr/>
        <w:t>Vzhledem k vlastnostem předpokládaných programů, v nichž budete grafy pro překreslení pravděpodobně vytvářet (předpoklad: kancelářské aplikace), NEPROPOJUJTE vynášené body! (Vytvořte např. sloupcové grafy.)</w:t>
      </w:r>
    </w:p>
    <w:p>
      <w:pPr>
        <w:pStyle w:val="Normal"/>
        <w:keepNext w:val="true"/>
        <w:jc w:val="center"/>
        <w:rPr/>
      </w:pPr>
      <w:r>
        <w:rPr/>
        <w:drawing>
          <wp:inline distT="0" distB="0" distL="0" distR="0">
            <wp:extent cx="5760720" cy="3554730"/>
            <wp:effectExtent l="0" t="0" r="0" b="0"/>
            <wp:docPr id="5" name="Obrázek 0" descr="rastr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ázek 0" descr="rastr_rel_chyba_IOZ.png"/>
                    <pic:cNvPicPr>
                      <a:picLocks noChangeAspect="1" noChangeArrowheads="1"/>
                    </pic:cNvPicPr>
                  </pic:nvPicPr>
                  <pic:blipFill>
                    <a:blip r:embed="rId6"/>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5</w:t>
      </w:r>
      <w:r>
        <w:rPr/>
        <w:fldChar w:fldCharType="end"/>
      </w:r>
      <w:r>
        <w:rPr/>
        <w:t>: Měření chyby zesílení invertujícího zesilovače (A</w:t>
      </w:r>
      <w:r>
        <w:rPr>
          <w:vertAlign w:val="subscript"/>
        </w:rPr>
        <w:t>U jmenovité</w:t>
      </w:r>
      <w:r>
        <w:rPr/>
        <w:t xml:space="preserve"> = -1)</w:t>
      </w:r>
    </w:p>
    <w:p>
      <w:pPr>
        <w:pStyle w:val="Normal"/>
        <w:jc w:val="center"/>
        <w:rPr/>
      </w:pPr>
      <w:r>
        <w:rPr/>
      </w:r>
    </w:p>
    <w:p>
      <w:pPr>
        <w:pStyle w:val="Normal"/>
        <w:keepNext w:val="true"/>
        <w:jc w:val="center"/>
        <w:rPr/>
      </w:pPr>
      <w:r>
        <w:rPr/>
        <w:drawing>
          <wp:inline distT="0" distB="0" distL="0" distR="0">
            <wp:extent cx="5760720" cy="3554730"/>
            <wp:effectExtent l="0" t="0" r="0" b="0"/>
            <wp:docPr id="6" name="Obrázek 2" descr="rastr_sk_zes_a_rel_chyba_I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ázek 2" descr="rastr_sk_zes_a_rel_chyba_IOZ.png"/>
                    <pic:cNvPicPr>
                      <a:picLocks noChangeAspect="1" noChangeArrowheads="1"/>
                    </pic:cNvPicPr>
                  </pic:nvPicPr>
                  <pic:blipFill>
                    <a:blip r:embed="rId7"/>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6</w:t>
      </w:r>
      <w:r>
        <w:rPr/>
        <w:fldChar w:fldCharType="end"/>
      </w:r>
      <w:r>
        <w:rPr/>
        <w:t>: Měření chyby zesílení invertujícího OZ pro malá napětí (různá jmenovitá zesílení)</w:t>
      </w:r>
    </w:p>
    <w:p>
      <w:pPr>
        <w:pStyle w:val="Normal"/>
        <w:jc w:val="center"/>
        <w:rPr/>
      </w:pPr>
      <w:r>
        <w:rPr/>
      </w:r>
    </w:p>
    <w:p>
      <w:pPr>
        <w:pStyle w:val="Normal"/>
        <w:keepNext w:val="true"/>
        <w:jc w:val="center"/>
        <w:rPr/>
      </w:pPr>
      <w:r>
        <w:rPr/>
        <w:drawing>
          <wp:inline distT="0" distB="0" distL="0" distR="0">
            <wp:extent cx="5760720" cy="3554730"/>
            <wp:effectExtent l="0" t="0" r="0" b="0"/>
            <wp:docPr id="7" name="Obrázek 3" descr="rastr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brázek 3" descr="rastr_rel_chyba_NOZ.png"/>
                    <pic:cNvPicPr>
                      <a:picLocks noChangeAspect="1" noChangeArrowheads="1"/>
                    </pic:cNvPicPr>
                  </pic:nvPicPr>
                  <pic:blipFill>
                    <a:blip r:embed="rId8"/>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7</w:t>
      </w:r>
      <w:r>
        <w:rPr/>
        <w:fldChar w:fldCharType="end"/>
      </w:r>
      <w:r>
        <w:rPr/>
        <w:t>: Měření chyby zesílení neinvertujícího zesilovače (A</w:t>
      </w:r>
      <w:r>
        <w:rPr>
          <w:vertAlign w:val="subscript"/>
        </w:rPr>
        <w:t>U jmenovité</w:t>
      </w:r>
      <w:r>
        <w:rPr/>
        <w:t xml:space="preserve"> = 2)</w:t>
      </w:r>
    </w:p>
    <w:p>
      <w:pPr>
        <w:pStyle w:val="Normal"/>
        <w:keepNext w:val="true"/>
        <w:jc w:val="center"/>
        <w:rPr/>
      </w:pPr>
      <w:r>
        <w:rPr/>
        <w:drawing>
          <wp:inline distT="0" distB="0" distL="0" distR="0">
            <wp:extent cx="5760720" cy="3554730"/>
            <wp:effectExtent l="0" t="0" r="0" b="0"/>
            <wp:docPr id="8" name="Obrázek 4" descr="rastr_sk_zes_a_rel_chyba_NO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brázek 4" descr="rastr_sk_zes_a_rel_chyba_NOZ.png"/>
                    <pic:cNvPicPr>
                      <a:picLocks noChangeAspect="1" noChangeArrowheads="1"/>
                    </pic:cNvPicPr>
                  </pic:nvPicPr>
                  <pic:blipFill>
                    <a:blip r:embed="rId9"/>
                    <a:stretch>
                      <a:fillRect/>
                    </a:stretch>
                  </pic:blipFill>
                  <pic:spPr bwMode="auto">
                    <a:xfrm>
                      <a:off x="0" y="0"/>
                      <a:ext cx="5760720" cy="3554730"/>
                    </a:xfrm>
                    <a:prstGeom prst="rect">
                      <a:avLst/>
                    </a:prstGeom>
                  </pic:spPr>
                </pic:pic>
              </a:graphicData>
            </a:graphic>
          </wp:inline>
        </w:drawing>
      </w:r>
    </w:p>
    <w:p>
      <w:pPr>
        <w:pStyle w:val="Caption1"/>
        <w:jc w:val="center"/>
        <w:rPr/>
      </w:pPr>
      <w:r>
        <w:rPr/>
        <w:t xml:space="preserve">Obrázek </w:t>
      </w:r>
      <w:r>
        <w:rPr/>
        <w:fldChar w:fldCharType="begin"/>
      </w:r>
      <w:r>
        <w:rPr/>
        <w:instrText xml:space="preserve"> SEQ Obrázek \* ARABIC </w:instrText>
      </w:r>
      <w:r>
        <w:rPr/>
        <w:fldChar w:fldCharType="separate"/>
      </w:r>
      <w:r>
        <w:rPr/>
        <w:t>8</w:t>
      </w:r>
      <w:r>
        <w:rPr/>
        <w:fldChar w:fldCharType="end"/>
      </w:r>
      <w:r>
        <w:rPr/>
        <w:t>: Měření chyby zesílení neinvertujícího OZ pro malá napětí (různá jmenovitá zesílení)</w:t>
      </w:r>
    </w:p>
    <w:p>
      <w:pPr>
        <w:pStyle w:val="Nadpis2"/>
        <w:rPr/>
      </w:pPr>
      <w:r>
        <w:rPr/>
        <w:t>Odpovědi na otázky</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ListParagraph"/>
        <w:numPr>
          <w:ilvl w:val="0"/>
          <w:numId w:val="4"/>
        </w:numPr>
        <w:rPr/>
      </w:pPr>
      <w:r>
        <w:rPr/>
        <w:t>………………………………………………………………………………………………………………………………………………………………………………………………………………………………………………………………………………………………………………………………………………………………………………………………………………………………………………</w:t>
      </w:r>
    </w:p>
    <w:p>
      <w:pPr>
        <w:pStyle w:val="Normal"/>
        <w:rPr/>
      </w:pPr>
      <w:r>
        <w:rPr/>
      </w:r>
    </w:p>
    <w:p>
      <w:pPr>
        <w:pStyle w:val="Nadpis2"/>
        <w:rPr/>
      </w:pPr>
      <w:r>
        <w:rPr/>
        <w:t>Závěr</w:t>
      </w:r>
    </w:p>
    <w:p>
      <w:pPr>
        <w:pStyle w:val="Normal"/>
        <w:rPr/>
      </w:pPr>
      <w:r>
        <w:rPr/>
        <w:t>……………………………………………………………………………………………………………………………………………………………………………………………………………………………………………………………………………………………………………………………………………………………………………………………………………………………………………………………………………………………………………………………………………………………………………………………………………………………………………………………………………………………………………………………………………………………………………………………………………………………………………………………………………………………………………………………………………………………………………………………………………………………………………………………………………………………………………………………………………………………………………………………………………………………………………………………………………………………………………………………………………………………………………………………………………………………………………………………………………………………………………………………………………………………………………………………………………………………………</w:t>
      </w:r>
    </w:p>
    <w:p>
      <w:pPr>
        <w:pStyle w:val="Nadpis2"/>
        <w:rPr/>
      </w:pPr>
      <w:r>
        <w:rPr/>
        <w:t>Informační prameny použité pro zpracování protokolu</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ListParagraph"/>
        <w:numPr>
          <w:ilvl w:val="0"/>
          <w:numId w:val="5"/>
        </w:numPr>
        <w:rPr/>
      </w:pPr>
      <w:r>
        <w:rPr/>
        <w:t>……………………………………………………………………………………………………………………………………………</w:t>
      </w:r>
    </w:p>
    <w:p>
      <w:pPr>
        <w:pStyle w:val="Normal"/>
        <w:rPr/>
      </w:pPr>
      <w:r>
        <w:rPr/>
      </w:r>
    </w:p>
    <w:tbl>
      <w:tblPr>
        <w:tblpPr w:bottomFromText="0" w:horzAnchor="margin" w:leftFromText="141" w:rightFromText="141" w:tblpX="0" w:tblpY="2" w:topFromText="0" w:vertAnchor="text"/>
        <w:tblW w:w="9212" w:type="dxa"/>
        <w:jc w:val="left"/>
        <w:tblInd w:w="108" w:type="dxa"/>
        <w:tblLayout w:type="fixed"/>
        <w:tblCellMar>
          <w:top w:w="0" w:type="dxa"/>
          <w:left w:w="108" w:type="dxa"/>
          <w:bottom w:w="0" w:type="dxa"/>
          <w:right w:w="108" w:type="dxa"/>
        </w:tblCellMar>
        <w:tblLook w:val="01e0" w:noHBand="0" w:noVBand="0" w:firstColumn="1" w:lastRow="1" w:lastColumn="1" w:firstRow="1"/>
      </w:tblPr>
      <w:tblGrid>
        <w:gridCol w:w="2373"/>
        <w:gridCol w:w="6838"/>
      </w:tblGrid>
      <w:tr>
        <w:trPr>
          <w:trHeight w:val="529" w:hRule="atLeast"/>
        </w:trPr>
        <w:tc>
          <w:tcPr>
            <w:tcW w:w="2373" w:type="dxa"/>
            <w:tcBorders>
              <w:top w:val="single" w:sz="24" w:space="0" w:color="000000"/>
              <w:left w:val="single" w:sz="24" w:space="0" w:color="000000"/>
              <w:bottom w:val="single" w:sz="6" w:space="0" w:color="000000"/>
              <w:right w:val="single" w:sz="6" w:space="0" w:color="000000"/>
            </w:tcBorders>
          </w:tcPr>
          <w:p>
            <w:pPr>
              <w:pStyle w:val="Normal"/>
              <w:widowControl w:val="false"/>
              <w:spacing w:lineRule="auto" w:line="240" w:before="0" w:after="200"/>
              <w:rPr>
                <w:b/>
                <w:sz w:val="20"/>
                <w:szCs w:val="20"/>
              </w:rPr>
            </w:pPr>
            <w:r>
              <w:rPr>
                <w:b/>
                <w:sz w:val="20"/>
                <w:szCs w:val="20"/>
              </w:rPr>
              <w:t>Datum vypracování:</w:t>
            </w:r>
          </w:p>
        </w:tc>
        <w:tc>
          <w:tcPr>
            <w:tcW w:w="6838" w:type="dxa"/>
            <w:tcBorders>
              <w:top w:val="single" w:sz="24" w:space="0" w:color="000000"/>
              <w:left w:val="single" w:sz="6" w:space="0" w:color="000000"/>
              <w:bottom w:val="single" w:sz="6" w:space="0" w:color="000000"/>
              <w:right w:val="single" w:sz="24" w:space="0" w:color="000000"/>
            </w:tcBorders>
          </w:tcPr>
          <w:p>
            <w:pPr>
              <w:pStyle w:val="Normal"/>
              <w:widowControl w:val="false"/>
              <w:spacing w:lineRule="auto" w:line="240" w:before="0" w:after="200"/>
              <w:rPr>
                <w:b/>
                <w:sz w:val="20"/>
                <w:szCs w:val="20"/>
              </w:rPr>
            </w:pPr>
            <w:r>
              <w:rPr>
                <w:b/>
                <w:sz w:val="20"/>
                <w:szCs w:val="20"/>
              </w:rPr>
            </w:r>
          </w:p>
        </w:tc>
      </w:tr>
      <w:tr>
        <w:trPr>
          <w:trHeight w:val="656" w:hRule="atLeast"/>
          <w:cantSplit w:val="true"/>
        </w:trPr>
        <w:tc>
          <w:tcPr>
            <w:tcW w:w="2373" w:type="dxa"/>
            <w:vMerge w:val="restart"/>
            <w:tcBorders>
              <w:top w:val="single" w:sz="6" w:space="0" w:color="000000"/>
              <w:left w:val="single" w:sz="24" w:space="0" w:color="000000"/>
              <w:bottom w:val="single" w:sz="24" w:space="0" w:color="000000"/>
              <w:right w:val="single" w:sz="6" w:space="0" w:color="000000"/>
            </w:tcBorders>
          </w:tcPr>
          <w:p>
            <w:pPr>
              <w:pStyle w:val="Normal"/>
              <w:widowControl w:val="false"/>
              <w:spacing w:lineRule="auto" w:line="240" w:before="0" w:after="200"/>
              <w:rPr>
                <w:b/>
                <w:sz w:val="20"/>
                <w:szCs w:val="20"/>
              </w:rPr>
            </w:pPr>
            <w:r>
              <w:rPr>
                <w:b/>
                <w:sz w:val="20"/>
                <w:szCs w:val="20"/>
              </w:rPr>
              <w:t>Čestné prohlášení:</w:t>
            </w:r>
          </w:p>
        </w:tc>
        <w:tc>
          <w:tcPr>
            <w:tcW w:w="6838" w:type="dxa"/>
            <w:tcBorders>
              <w:top w:val="single" w:sz="6" w:space="0" w:color="000000"/>
              <w:left w:val="single" w:sz="6" w:space="0" w:color="000000"/>
              <w:bottom w:val="single" w:sz="6" w:space="0" w:color="000000"/>
              <w:right w:val="single" w:sz="24" w:space="0" w:color="000000"/>
            </w:tcBorders>
          </w:tcPr>
          <w:p>
            <w:pPr>
              <w:pStyle w:val="Normal"/>
              <w:widowControl w:val="false"/>
              <w:spacing w:lineRule="auto" w:line="240" w:before="0" w:after="200"/>
              <w:rPr>
                <w:b/>
                <w:sz w:val="20"/>
                <w:szCs w:val="20"/>
              </w:rPr>
            </w:pPr>
            <w:r>
              <w:rPr>
                <w:b/>
                <w:sz w:val="20"/>
                <w:szCs w:val="20"/>
              </w:rPr>
              <w:t>Prohlašuji, že jsem protokol zpracoval samostatně, veškeré použité prameny jsem uvedl ve stati „Informační prameny použité pro zpracování protokolu“.</w:t>
            </w:r>
          </w:p>
        </w:tc>
      </w:tr>
      <w:tr>
        <w:trPr>
          <w:trHeight w:val="850" w:hRule="atLeast"/>
          <w:cantSplit w:val="true"/>
        </w:trPr>
        <w:tc>
          <w:tcPr>
            <w:tcW w:w="2373" w:type="dxa"/>
            <w:vMerge w:val="continue"/>
            <w:tcBorders>
              <w:top w:val="single" w:sz="6" w:space="0" w:color="000000"/>
              <w:left w:val="single" w:sz="24" w:space="0" w:color="000000"/>
              <w:bottom w:val="single" w:sz="24" w:space="0" w:color="000000"/>
              <w:right w:val="single" w:sz="6" w:space="0" w:color="000000"/>
            </w:tcBorders>
          </w:tcPr>
          <w:p>
            <w:pPr>
              <w:pStyle w:val="Normal"/>
              <w:widowControl w:val="false"/>
              <w:spacing w:lineRule="auto" w:line="240" w:before="0" w:after="200"/>
              <w:rPr>
                <w:b/>
                <w:sz w:val="20"/>
                <w:szCs w:val="20"/>
              </w:rPr>
            </w:pPr>
            <w:r>
              <w:rPr>
                <w:b/>
                <w:sz w:val="20"/>
                <w:szCs w:val="20"/>
              </w:rPr>
            </w:r>
          </w:p>
        </w:tc>
        <w:tc>
          <w:tcPr>
            <w:tcW w:w="6838" w:type="dxa"/>
            <w:tcBorders>
              <w:top w:val="single" w:sz="6" w:space="0" w:color="000000"/>
              <w:left w:val="single" w:sz="6" w:space="0" w:color="000000"/>
              <w:bottom w:val="single" w:sz="24" w:space="0" w:color="000000"/>
              <w:right w:val="single" w:sz="24" w:space="0" w:color="000000"/>
            </w:tcBorders>
          </w:tcPr>
          <w:p>
            <w:pPr>
              <w:pStyle w:val="Normal"/>
              <w:widowControl w:val="false"/>
              <w:spacing w:lineRule="auto" w:line="240" w:before="0" w:after="200"/>
              <w:rPr>
                <w:b/>
                <w:sz w:val="20"/>
                <w:szCs w:val="20"/>
              </w:rPr>
            </w:pPr>
            <w:r>
              <w:rPr>
                <w:b/>
                <w:sz w:val="20"/>
                <w:szCs w:val="20"/>
              </w:rPr>
              <w:t>Podpis studenta:</w:t>
            </w:r>
          </w:p>
        </w:tc>
      </w:tr>
    </w:tbl>
    <w:p>
      <w:pPr>
        <w:pStyle w:val="Normal"/>
        <w:rPr/>
      </w:pPr>
      <w:r>
        <w:rPr/>
      </w:r>
    </w:p>
    <w:p>
      <w:pPr>
        <w:pStyle w:val="Normal"/>
        <w:rPr/>
      </w:pPr>
      <w:r>
        <w:rPr/>
      </w:r>
    </w:p>
    <w:p>
      <w:pPr>
        <w:pStyle w:val="Nadpis2"/>
        <w:rPr/>
      </w:pPr>
      <w:r>
        <w:rPr/>
        <w:t>Použité přístroje</w:t>
      </w:r>
    </w:p>
    <w:tbl>
      <w:tblPr>
        <w:tblStyle w:val="Mkatabulky"/>
        <w:tblW w:w="9288"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1787"/>
        <w:gridCol w:w="1748"/>
        <w:gridCol w:w="1723"/>
        <w:gridCol w:w="1757"/>
        <w:gridCol w:w="2273"/>
      </w:tblGrid>
      <w:tr>
        <w:trPr/>
        <w:tc>
          <w:tcPr>
            <w:tcW w:w="1787" w:type="dxa"/>
            <w:tcBorders>
              <w:top w:val="single" w:sz="18"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Přístroj</w:t>
            </w:r>
          </w:p>
        </w:tc>
        <w:tc>
          <w:tcPr>
            <w:tcW w:w="1748"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Typ</w:t>
            </w:r>
          </w:p>
        </w:tc>
        <w:tc>
          <w:tcPr>
            <w:tcW w:w="1723"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Výrobní číslo</w:t>
            </w:r>
          </w:p>
        </w:tc>
        <w:tc>
          <w:tcPr>
            <w:tcW w:w="1757"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Inventární číslo</w:t>
            </w:r>
          </w:p>
        </w:tc>
        <w:tc>
          <w:tcPr>
            <w:tcW w:w="2273" w:type="dxa"/>
            <w:tcBorders>
              <w:top w:val="single" w:sz="18"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Poznámka</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00095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Napájecí zdroj regulovatelný</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DHM-EL_12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lze nahradit modulem PROGRAMMABLE DC SUPPLY</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Multimetr</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Nebyl dán</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Moduly</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Module board</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15</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OZ</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DHM-EL-13</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333/2020</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10 k</w:t>
            </w:r>
            <w:r>
              <w:rPr>
                <w:rFonts w:eastAsia="Calibri" w:cs="" w:ascii="Symbol" w:hAnsi="Symbol"/>
                <w:kern w:val="0"/>
                <w:sz w:val="20"/>
                <w:szCs w:val="20"/>
                <w:lang w:val="cs-CZ" w:eastAsia="en-US" w:bidi="ar-SA"/>
              </w:rPr>
              <w:t></w:t>
            </w:r>
            <w:r>
              <w:rPr>
                <w:rFonts w:eastAsia="Calibri" w:cs=""/>
                <w:kern w:val="0"/>
                <w:sz w:val="20"/>
                <w:szCs w:val="20"/>
                <w:lang w:val="cs-CZ" w:eastAsia="en-US" w:bidi="ar-SA"/>
              </w:rPr>
              <w:t>, 1 k</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Odporová dekáda</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DHM-EL-12</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 ks (</w:t>
            </w:r>
            <w:r>
              <w:rPr>
                <w:rFonts w:eastAsia="Calibri" w:cs=""/>
                <w:kern w:val="0"/>
                <w:sz w:val="20"/>
                <w:szCs w:val="20"/>
                <w:lang w:val="cs-CZ" w:eastAsia="en-US" w:bidi="ar-SA"/>
              </w:rPr>
              <w:t xml:space="preserve">200 </w:t>
            </w:r>
            <w:r>
              <w:rPr>
                <w:rFonts w:eastAsia="Calibri" w:cs="" w:ascii="Symbol" w:hAnsi="Symbol"/>
                <w:kern w:val="0"/>
                <w:sz w:val="20"/>
                <w:szCs w:val="20"/>
                <w:lang w:val="cs-CZ" w:eastAsia="en-US" w:bidi="ar-SA"/>
              </w:rPr>
              <w:t></w:t>
            </w:r>
            <w:r>
              <w:rPr>
                <w:rFonts w:eastAsia="Calibri" w:cs=""/>
                <w:kern w:val="0"/>
                <w:sz w:val="20"/>
                <w:szCs w:val="20"/>
                <w:lang w:val="cs-CZ" w:eastAsia="en-US" w:bidi="ar-SA"/>
              </w:rPr>
              <w:t>, 100 </w:t>
            </w:r>
            <w:r>
              <w:rPr>
                <w:rFonts w:eastAsia="Calibri" w:cs="" w:ascii="Symbol" w:hAnsi="Symbol"/>
                <w:kern w:val="0"/>
                <w:sz w:val="20"/>
                <w:szCs w:val="20"/>
                <w:lang w:val="cs-CZ" w:eastAsia="en-US" w:bidi="ar-SA"/>
              </w:rPr>
              <w:t></w:t>
            </w:r>
            <w:r>
              <w:rPr>
                <w:rFonts w:eastAsia="Calibri" w:cs=""/>
                <w:kern w:val="0"/>
                <w:sz w:val="22"/>
                <w:szCs w:val="22"/>
                <w:lang w:val="cs-CZ" w:eastAsia="en-US" w:bidi="ar-SA"/>
              </w:rPr>
              <w:t>)</w:t>
            </w:r>
          </w:p>
        </w:tc>
      </w:tr>
      <w:tr>
        <w:trPr/>
        <w:tc>
          <w:tcPr>
            <w:tcW w:w="1787"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Diskrétní prvky</w:t>
            </w:r>
          </w:p>
        </w:tc>
        <w:tc>
          <w:tcPr>
            <w:tcW w:w="1748"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Rezistory</w:t>
            </w:r>
            <w:r>
              <w:rPr>
                <w:rFonts w:eastAsia="Calibri" w:cs=""/>
                <w:kern w:val="0"/>
                <w:sz w:val="20"/>
                <w:szCs w:val="20"/>
                <w:lang w:val="cs-CZ" w:eastAsia="en-US" w:bidi="ar-SA"/>
              </w:rPr>
              <w:t xml:space="preserve"> (po 2 ks)</w:t>
            </w:r>
          </w:p>
        </w:tc>
        <w:tc>
          <w:tcPr>
            <w:tcW w:w="172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1k,10k,100k,500k,(1M)</w:t>
            </w:r>
          </w:p>
        </w:tc>
      </w:tr>
      <w:tr>
        <w:trPr/>
        <w:tc>
          <w:tcPr>
            <w:tcW w:w="1787" w:type="dxa"/>
            <w:tcBorders>
              <w:top w:val="single" w:sz="2" w:space="0" w:color="000000"/>
              <w:left w:val="single" w:sz="18"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Propojovací kabely</w:t>
            </w:r>
          </w:p>
        </w:tc>
        <w:tc>
          <w:tcPr>
            <w:tcW w:w="1748"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23"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1757"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DHM EL 16</w:t>
            </w:r>
          </w:p>
        </w:tc>
        <w:tc>
          <w:tcPr>
            <w:tcW w:w="2273" w:type="dxa"/>
            <w:tcBorders>
              <w:top w:val="single" w:sz="2"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bl>
    <w:p>
      <w:pPr>
        <w:pStyle w:val="Normal"/>
        <w:rPr/>
      </w:pPr>
      <w:r>
        <w:rPr/>
      </w:r>
    </w:p>
    <w:p>
      <w:pPr>
        <w:pStyle w:val="Normal"/>
        <w:rPr/>
      </w:pPr>
      <w:r>
        <w:rPr/>
      </w:r>
    </w:p>
    <w:p>
      <w:pPr>
        <w:pStyle w:val="Nadpis2"/>
        <w:rPr/>
      </w:pPr>
      <w:r>
        <w:rPr/>
        <w:t>Hodnocení</w:t>
      </w:r>
    </w:p>
    <w:tbl>
      <w:tblPr>
        <w:tblStyle w:val="Mkatabulky"/>
        <w:tblW w:w="918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18"/>
        <w:gridCol w:w="4393"/>
        <w:gridCol w:w="1276"/>
        <w:gridCol w:w="992"/>
      </w:tblGrid>
      <w:tr>
        <w:trPr/>
        <w:tc>
          <w:tcPr>
            <w:tcW w:w="2518" w:type="dxa"/>
            <w:tcBorders>
              <w:top w:val="single" w:sz="18"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Etapa hodnocení úlohy</w:t>
            </w:r>
          </w:p>
        </w:tc>
        <w:tc>
          <w:tcPr>
            <w:tcW w:w="4393"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Bodovaná část</w:t>
            </w:r>
          </w:p>
        </w:tc>
        <w:tc>
          <w:tcPr>
            <w:tcW w:w="1276" w:type="dxa"/>
            <w:tcBorders>
              <w:top w:val="single" w:sz="18"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Maximální počet bodů</w:t>
            </w:r>
          </w:p>
        </w:tc>
        <w:tc>
          <w:tcPr>
            <w:tcW w:w="992" w:type="dxa"/>
            <w:tcBorders>
              <w:top w:val="single" w:sz="18"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Získané body</w:t>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Samostatná příprava</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Ústní přezkoušení z měřené problematiky</w:t>
            </w:r>
            <w:r>
              <w:rPr>
                <w:rStyle w:val="Ukotvenpoznmkypodarou"/>
                <w:rFonts w:eastAsia="Calibri" w:cs=""/>
                <w:kern w:val="0"/>
                <w:sz w:val="22"/>
                <w:szCs w:val="22"/>
                <w:lang w:val="cs-CZ" w:eastAsia="en-US" w:bidi="ar-SA"/>
              </w:rPr>
              <w:footnoteReference w:id="2"/>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rHeight w:val="335" w:hRule="atLeast"/>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Měření v laboratoři</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Zapojování schémat, průběh měření</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Konzultace</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Nepovinná, proběhla dne:……………….</w:t>
            </w:r>
            <w:r>
              <w:rPr>
                <w:rStyle w:val="Ukotvenpoznmkypodarou"/>
                <w:rFonts w:eastAsia="Calibri" w:cs=""/>
                <w:kern w:val="0"/>
                <w:sz w:val="22"/>
                <w:szCs w:val="22"/>
                <w:lang w:val="cs-CZ" w:eastAsia="en-US" w:bidi="ar-SA"/>
              </w:rPr>
              <w:footnoteReference w:id="3"/>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restart"/>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Zpracování protokolu</w:t>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Úpravnost, struktura protokolu</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Výpočty (dosazení, výsledky, jednotky)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Tabulky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Grafy (popis os, měřítko, vlastní graf)</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15</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Odpovědi na otázky</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vMerge w:val="continue"/>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Závěr</w:t>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c>
          <w:tcPr>
            <w:tcW w:w="4393"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Obhajoba</w:t>
            </w:r>
            <w:r>
              <w:rPr>
                <w:rStyle w:val="Ukotvenpoznmkypodarou"/>
                <w:rFonts w:eastAsia="Calibri" w:cs=""/>
                <w:kern w:val="0"/>
                <w:sz w:val="22"/>
                <w:szCs w:val="22"/>
                <w:lang w:val="cs-CZ" w:eastAsia="en-US" w:bidi="ar-SA"/>
              </w:rPr>
              <w:footnoteReference w:id="4"/>
            </w:r>
          </w:p>
        </w:tc>
        <w:tc>
          <w:tcPr>
            <w:tcW w:w="1276" w:type="dxa"/>
            <w:tcBorders>
              <w:top w:val="single" w:sz="2" w:space="0" w:color="000000"/>
              <w:left w:val="single" w:sz="2"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30</w:t>
            </w:r>
          </w:p>
        </w:tc>
        <w:tc>
          <w:tcPr>
            <w:tcW w:w="992"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r>
          </w:p>
        </w:tc>
      </w:tr>
      <w:tr>
        <w:trPr/>
        <w:tc>
          <w:tcPr>
            <w:tcW w:w="2518" w:type="dxa"/>
            <w:tcBorders>
              <w:top w:val="single" w:sz="2" w:space="0" w:color="000000"/>
              <w:left w:val="single" w:sz="18"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Celkové hodnocení</w:t>
            </w:r>
          </w:p>
        </w:tc>
        <w:tc>
          <w:tcPr>
            <w:tcW w:w="4393"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protokolu o laboratorním cvičení</w:t>
            </w:r>
          </w:p>
        </w:tc>
        <w:tc>
          <w:tcPr>
            <w:tcW w:w="1276" w:type="dxa"/>
            <w:tcBorders>
              <w:top w:val="single" w:sz="2" w:space="0" w:color="000000"/>
              <w:left w:val="single" w:sz="2" w:space="0" w:color="000000"/>
              <w:bottom w:val="single" w:sz="18"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100</w:t>
            </w:r>
          </w:p>
        </w:tc>
        <w:tc>
          <w:tcPr>
            <w:tcW w:w="992" w:type="dxa"/>
            <w:tcBorders>
              <w:top w:val="single" w:sz="2" w:space="0" w:color="000000"/>
              <w:left w:val="single" w:sz="2"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b/>
                <w:i/>
                <w:i/>
              </w:rPr>
            </w:pPr>
            <w:r>
              <w:rPr>
                <w:b/>
                <w:i/>
              </w:rPr>
            </w:r>
          </w:p>
        </w:tc>
      </w:tr>
    </w:tbl>
    <w:p>
      <w:pPr>
        <w:pStyle w:val="Normal"/>
        <w:rPr/>
      </w:pPr>
      <w:r>
        <w:rPr/>
      </w:r>
    </w:p>
    <w:p>
      <w:pPr>
        <w:pStyle w:val="Normal"/>
        <w:rPr/>
      </w:pPr>
      <w:r>
        <w:rPr/>
      </w:r>
    </w:p>
    <w:tbl>
      <w:tblPr>
        <w:tblStyle w:val="Mkatabulky"/>
        <w:tblW w:w="5070" w:type="dxa"/>
        <w:jc w:val="center"/>
        <w:tblInd w:w="0" w:type="dxa"/>
        <w:tblLayout w:type="fixed"/>
        <w:tblCellMar>
          <w:top w:w="0" w:type="dxa"/>
          <w:left w:w="108" w:type="dxa"/>
          <w:bottom w:w="0" w:type="dxa"/>
          <w:right w:w="108" w:type="dxa"/>
        </w:tblCellMar>
        <w:tblLook w:val="04a0" w:noHBand="0" w:noVBand="1" w:firstColumn="1" w:lastRow="0" w:lastColumn="0" w:firstRow="1"/>
      </w:tblPr>
      <w:tblGrid>
        <w:gridCol w:w="2660"/>
        <w:gridCol w:w="2409"/>
      </w:tblGrid>
      <w:tr>
        <w:trPr>
          <w:cantSplit w:val="true"/>
        </w:trPr>
        <w:tc>
          <w:tcPr>
            <w:tcW w:w="5069" w:type="dxa"/>
            <w:gridSpan w:val="2"/>
            <w:tcBorders>
              <w:top w:val="single" w:sz="18" w:space="0" w:color="000000"/>
              <w:left w:val="single" w:sz="18"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Přiřazení klasifikace</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Počet získaných bodů</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Hodnocení</w:t>
            </w:r>
            <w:r>
              <w:rPr>
                <w:rStyle w:val="Ukotvenpoznmkypodarou"/>
                <w:rFonts w:eastAsia="Calibri" w:cs=""/>
                <w:kern w:val="0"/>
                <w:sz w:val="22"/>
                <w:szCs w:val="22"/>
                <w:lang w:val="cs-CZ" w:eastAsia="en-US" w:bidi="ar-SA"/>
              </w:rPr>
              <w:footnoteReference w:id="5"/>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řádný termín</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b/>
                <w:i/>
                <w:i/>
              </w:rPr>
            </w:pPr>
            <w:r>
              <w:rPr>
                <w:b/>
                <w:i/>
              </w:rPr>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0 až 49</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50 až 60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4</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61 až 70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3</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71 až 85</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2</w:t>
            </w:r>
          </w:p>
        </w:tc>
      </w:tr>
      <w:tr>
        <w:trPr>
          <w:cantSplit w:val="true"/>
        </w:trPr>
        <w:tc>
          <w:tcPr>
            <w:tcW w:w="2660" w:type="dxa"/>
            <w:tcBorders>
              <w:top w:val="single" w:sz="2" w:space="0" w:color="000000"/>
              <w:left w:val="single" w:sz="18" w:space="0" w:color="000000"/>
              <w:bottom w:val="single" w:sz="2" w:space="0" w:color="000000"/>
              <w:right w:val="single" w:sz="2"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86 až 100</w:t>
            </w:r>
          </w:p>
        </w:tc>
        <w:tc>
          <w:tcPr>
            <w:tcW w:w="2409" w:type="dxa"/>
            <w:tcBorders>
              <w:top w:val="single" w:sz="2" w:space="0" w:color="000000"/>
              <w:left w:val="single" w:sz="2" w:space="0" w:color="000000"/>
              <w:bottom w:val="single" w:sz="2" w:space="0" w:color="000000"/>
              <w:right w:val="single" w:sz="18" w:space="0" w:color="000000"/>
            </w:tcBorders>
          </w:tcPr>
          <w:p>
            <w:pPr>
              <w:pStyle w:val="Normal"/>
              <w:widowControl w:val="false"/>
              <w:suppressAutoHyphens w:val="true"/>
              <w:spacing w:lineRule="auto" w:line="240" w:before="0" w:after="0"/>
              <w:jc w:val="center"/>
              <w:rPr>
                <w:rFonts w:ascii="Calibri" w:hAnsi="Calibri" w:eastAsia="Calibri" w:cs=""/>
                <w:kern w:val="0"/>
                <w:sz w:val="22"/>
                <w:szCs w:val="22"/>
                <w:lang w:val="cs-CZ" w:eastAsia="en-US" w:bidi="ar-SA"/>
              </w:rPr>
            </w:pPr>
            <w:r>
              <w:rPr>
                <w:rFonts w:eastAsia="Calibri" w:cs=""/>
                <w:kern w:val="0"/>
                <w:sz w:val="22"/>
                <w:szCs w:val="22"/>
                <w:lang w:val="cs-CZ" w:eastAsia="en-US" w:bidi="ar-SA"/>
              </w:rPr>
              <w:t>1</w:t>
            </w:r>
          </w:p>
        </w:tc>
      </w:tr>
      <w:tr>
        <w:trPr>
          <w:cantSplit w:val="true"/>
        </w:trPr>
        <w:tc>
          <w:tcPr>
            <w:tcW w:w="5069" w:type="dxa"/>
            <w:gridSpan w:val="2"/>
            <w:tcBorders>
              <w:top w:val="single" w:sz="2" w:space="0" w:color="000000"/>
              <w:left w:val="single" w:sz="18" w:space="0" w:color="000000"/>
              <w:bottom w:val="single" w:sz="18" w:space="0" w:color="000000"/>
              <w:right w:val="single" w:sz="18" w:space="0" w:color="000000"/>
            </w:tcBorders>
          </w:tcPr>
          <w:p>
            <w:pPr>
              <w:pStyle w:val="Normal"/>
              <w:widowControl w:val="false"/>
              <w:suppressAutoHyphens w:val="true"/>
              <w:spacing w:lineRule="auto" w:line="240" w:before="0" w:after="0"/>
              <w:jc w:val="center"/>
              <w:rPr>
                <w:b/>
                <w:i/>
                <w:i/>
              </w:rPr>
            </w:pPr>
            <w:r>
              <w:rPr>
                <w:rFonts w:eastAsia="Calibri" w:cs=""/>
                <w:b/>
                <w:i/>
                <w:kern w:val="0"/>
                <w:sz w:val="22"/>
                <w:szCs w:val="22"/>
                <w:lang w:val="cs-CZ" w:eastAsia="en-US" w:bidi="ar-SA"/>
              </w:rPr>
              <w:t>Uzavření klasifikace protokolu dne: ……………………… Podpis: ………………………</w:t>
            </w:r>
          </w:p>
        </w:tc>
      </w:tr>
    </w:tbl>
    <w:p>
      <w:pPr>
        <w:pStyle w:val="Normal"/>
        <w:rPr/>
      </w:pPr>
      <w:r>
        <w:rPr/>
      </w:r>
    </w:p>
    <w:p>
      <w:pPr>
        <w:pStyle w:val="Nadpis2"/>
        <w:rPr/>
      </w:pPr>
      <w:r>
        <w:rPr/>
        <w:t>Poznámky</w:t>
      </w:r>
    </w:p>
    <w:p>
      <w:pPr>
        <w:pStyle w:val="Normal"/>
        <w:rPr/>
      </w:pPr>
      <w:r>
        <w:rPr/>
        <w:t>Výtah z katalogového listu vybraného typu OZ (vybraný typ: …………………)</w:t>
      </w:r>
    </w:p>
    <w:p>
      <w:pPr>
        <w:pStyle w:val="Normal"/>
        <w:rPr/>
      </w:pPr>
      <w:r>
        <w:rPr/>
      </w:r>
    </w:p>
    <w:p>
      <w:pPr>
        <w:pStyle w:val="Normal"/>
        <w:rPr/>
      </w:pPr>
      <w:r>
        <w:rPr/>
      </w:r>
    </w:p>
    <w:p>
      <w:pPr>
        <w:pStyle w:val="Normal"/>
        <w:spacing w:before="0" w:after="200"/>
        <w:rPr/>
      </w:pPr>
      <w:r>
        <w:rPr/>
      </w:r>
    </w:p>
    <w:sectPr>
      <w:headerReference w:type="default" r:id="rId10"/>
      <w:footerReference w:type="default" r:id="rId11"/>
      <w:footnotePr>
        <w:numFmt w:val="decimal"/>
      </w:footnotePr>
      <w:type w:val="nextPage"/>
      <w:pgSz w:w="11906" w:h="16838"/>
      <w:pgMar w:left="1417" w:right="1417" w:gutter="0" w:header="708" w:top="1417" w:footer="708"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Times New Roman">
    <w:charset w:val="01"/>
    <w:family w:val="roman"/>
    <w:pitch w:val="variable"/>
  </w:font>
  <w:font w:name="Liberation Sans">
    <w:altName w:val="Arial"/>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40495539"/>
    </w:sdtPr>
    <w:sdtContent>
      <w:p>
        <w:pPr>
          <w:pStyle w:val="Zpat"/>
          <w:jc w:val="center"/>
          <w:rPr/>
        </w:pPr>
        <w:r>
          <w:rPr/>
          <w:fldChar w:fldCharType="begin"/>
        </w:r>
        <w:r>
          <w:rPr/>
          <w:instrText xml:space="preserve"> PAGE </w:instrText>
        </w:r>
        <w:r>
          <w:rPr/>
          <w:fldChar w:fldCharType="separate"/>
        </w:r>
        <w:r>
          <w:rPr/>
          <w:t>1</w:t>
        </w:r>
        <w:r>
          <w:rPr/>
          <w:fldChar w:fldCharType="end"/>
        </w:r>
      </w:p>
    </w:sdtContent>
  </w:sdt>
  <w:p>
    <w:pPr>
      <w:pStyle w:val="Zpat"/>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Poznmkapodarou"/>
        <w:widowControl w:val="false"/>
        <w:rPr/>
      </w:pPr>
      <w:r>
        <w:rPr>
          <w:rStyle w:val="Znakypropoznmkupodarou"/>
        </w:rPr>
        <w:footnoteRef/>
      </w:r>
      <w:r>
        <w:rPr/>
        <w:t xml:space="preserve"> </w:t>
      </w:r>
      <w:r>
        <w:rPr/>
        <w:t>Ústní přezkoušení prověřuje připravenost studenta. Nepřipravený student získá 0 bodů, obdrží náhradní práci, laboratorní úlohu měří po dohodě s vyučujícím v náhradním termínu. Pro náhradní termíny zůstává bodový stav 0, připravenost je již jen podmínkou k připuštění studenta k vlastnímu měření. Termín pro odevzdání protokolu se počítá od řádného termínu laboratorního cvičení.</w:t>
      </w:r>
    </w:p>
  </w:footnote>
  <w:footnote w:id="3">
    <w:p>
      <w:pPr>
        <w:pStyle w:val="Poznmkapodarou"/>
        <w:widowControl w:val="false"/>
        <w:rPr/>
      </w:pPr>
      <w:r>
        <w:rPr>
          <w:rStyle w:val="Znakypropoznmkupodarou"/>
        </w:rPr>
        <w:footnoteRef/>
      </w:r>
      <w:r>
        <w:rPr/>
        <w:t xml:space="preserve"> </w:t>
      </w:r>
      <w:r>
        <w:rPr/>
        <w:t>Údaj v kolonce získané body platí pouze s vyplněním data, kdy konzultace proběhla, vyučující potvrdil konzultaci svým podpisem.</w:t>
      </w:r>
    </w:p>
  </w:footnote>
  <w:footnote w:id="4">
    <w:p>
      <w:pPr>
        <w:pStyle w:val="Poznmkapodarou"/>
        <w:widowControl w:val="false"/>
        <w:rPr/>
      </w:pPr>
      <w:r>
        <w:rPr>
          <w:rStyle w:val="Znakypropoznmkupodarou"/>
        </w:rPr>
        <w:footnoteRef/>
      </w:r>
      <w:r>
        <w:rPr/>
        <w:t xml:space="preserve"> </w:t>
      </w:r>
      <w:r>
        <w:rPr/>
        <w:t xml:space="preserve">Obhajoba je ústní (s přípravou) nebo písemná, povinná. Student, který neprokáže znalost problematiky, nezískává body, úloha je hodnocena </w:t>
      </w:r>
      <w:r>
        <w:rPr>
          <w:b/>
        </w:rPr>
        <w:t>NEDOSTATEČNĚ!</w:t>
      </w:r>
    </w:p>
  </w:footnote>
  <w:footnote w:id="5">
    <w:p>
      <w:pPr>
        <w:pStyle w:val="Poznmkapodarou"/>
        <w:widowControl w:val="false"/>
        <w:rPr/>
      </w:pPr>
      <w:r>
        <w:rPr>
          <w:rStyle w:val="Znakypropoznmkupodarou"/>
        </w:rPr>
        <w:footnoteRef/>
      </w:r>
      <w:r>
        <w:rPr/>
        <w:t xml:space="preserve"> </w:t>
      </w:r>
      <w:r>
        <w:rPr/>
        <w:t>V případě neuzavření klasifikace protokolu v řádném termínu je postupováno dle pravidel pro odevzdávání protokolů, jejichž znalost student potvrdil svým podpisem.</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Zhlav"/>
      <w:jc w:val="center"/>
      <w:rPr>
        <w:b/>
      </w:rPr>
    </w:pPr>
    <w:r>
      <w:rPr>
        <w:b/>
      </w:rPr>
      <w:t>Vyšší odborná škola a Střední průmyslová škola strojní, stavební a dopravní, Děčín</w:t>
    </w:r>
  </w:p>
  <w:p>
    <w:pPr>
      <w:pStyle w:val="Zhlav"/>
      <w:jc w:val="center"/>
      <w:rPr>
        <w:b/>
      </w:rPr>
    </w:pPr>
    <w:r>
      <w:rPr>
        <w:b/>
      </w:rPr>
    </w:r>
  </w:p>
  <w:p>
    <w:pPr>
      <w:pStyle w:val="Zhlav"/>
      <w:jc w:val="center"/>
      <w:rPr>
        <w:b/>
      </w:rPr>
    </w:pPr>
    <w:r>
      <w:rPr>
        <w:b/>
      </w:rPr>
      <w:t>Elektrická měření – laboratorní cvičení</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20"/>
  <w:defaultTabStop w:val="708"/>
  <w:autoHyphenation w:val="true"/>
  <w:footnotePr>
    <w:numFmt w:val="decimal"/>
    <w:footnote w:id="0"/>
    <w:footnote w:id="1"/>
  </w:foot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cs-CZ"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8b2795"/>
    <w:pPr>
      <w:widowControl/>
      <w:suppressAutoHyphens w:val="true"/>
      <w:bidi w:val="0"/>
      <w:spacing w:lineRule="auto" w:line="276" w:before="0" w:after="200"/>
      <w:jc w:val="both"/>
    </w:pPr>
    <w:rPr>
      <w:rFonts w:ascii="Calibri" w:hAnsi="Calibri" w:eastAsia="Calibri" w:cs="" w:asciiTheme="minorHAnsi" w:cstheme="minorBidi" w:eastAsiaTheme="minorHAnsi" w:hAnsiTheme="minorHAnsi"/>
      <w:color w:val="auto"/>
      <w:kern w:val="0"/>
      <w:sz w:val="22"/>
      <w:szCs w:val="22"/>
      <w:lang w:val="cs-CZ" w:eastAsia="en-US" w:bidi="ar-SA"/>
    </w:rPr>
  </w:style>
  <w:style w:type="paragraph" w:styleId="Nadpis1">
    <w:name w:val="Heading 1"/>
    <w:basedOn w:val="Normal"/>
    <w:next w:val="Normal"/>
    <w:link w:val="Nadpis1Char"/>
    <w:uiPriority w:val="9"/>
    <w:qFormat/>
    <w:rsid w:val="00fb6fae"/>
    <w:pPr>
      <w:keepNext w:val="true"/>
      <w:keepLines/>
      <w:spacing w:before="480" w:after="0"/>
      <w:outlineLvl w:val="0"/>
    </w:pPr>
    <w:rPr>
      <w:rFonts w:ascii="Cambria" w:hAnsi="Cambria" w:eastAsia="" w:cs="" w:asciiTheme="majorHAnsi" w:cstheme="majorBidi" w:eastAsiaTheme="majorEastAsia" w:hAnsiTheme="majorHAnsi"/>
      <w:b/>
      <w:bCs/>
      <w:sz w:val="28"/>
      <w:szCs w:val="28"/>
    </w:rPr>
  </w:style>
  <w:style w:type="paragraph" w:styleId="Nadpis2">
    <w:name w:val="Heading 2"/>
    <w:basedOn w:val="Normal"/>
    <w:next w:val="Normal"/>
    <w:link w:val="Nadpis2Char"/>
    <w:uiPriority w:val="9"/>
    <w:unhideWhenUsed/>
    <w:qFormat/>
    <w:rsid w:val="00fb6fae"/>
    <w:pPr>
      <w:keepNext w:val="true"/>
      <w:keepLines/>
      <w:spacing w:before="200" w:after="0"/>
      <w:outlineLvl w:val="1"/>
    </w:pPr>
    <w:rPr>
      <w:rFonts w:ascii="Cambria" w:hAnsi="Cambria" w:eastAsia="" w:cs="" w:asciiTheme="majorHAnsi" w:cstheme="majorBidi" w:eastAsiaTheme="majorEastAsia" w:hAnsiTheme="majorHAnsi"/>
      <w:b/>
      <w:bCs/>
      <w:sz w:val="26"/>
      <w:szCs w:val="26"/>
    </w:rPr>
  </w:style>
  <w:style w:type="paragraph" w:styleId="Nadpis3">
    <w:name w:val="Heading 3"/>
    <w:basedOn w:val="Normal"/>
    <w:next w:val="Normal"/>
    <w:link w:val="Nadpis3Char"/>
    <w:uiPriority w:val="9"/>
    <w:unhideWhenUsed/>
    <w:qFormat/>
    <w:rsid w:val="00e4507b"/>
    <w:pPr>
      <w:keepNext w:val="true"/>
      <w:keepLines/>
      <w:spacing w:before="200" w:after="0"/>
      <w:outlineLvl w:val="2"/>
    </w:pPr>
    <w:rPr>
      <w:rFonts w:ascii="Cambria" w:hAnsi="Cambria" w:eastAsia="" w:cs="" w:asciiTheme="majorHAnsi" w:cstheme="majorBidi" w:eastAsiaTheme="majorEastAsia" w:hAnsiTheme="majorHAnsi"/>
      <w:b/>
      <w:bCs/>
    </w:rPr>
  </w:style>
  <w:style w:type="paragraph" w:styleId="Nadpis4">
    <w:name w:val="Heading 4"/>
    <w:basedOn w:val="Normal"/>
    <w:next w:val="Normal"/>
    <w:link w:val="Nadpis4Char"/>
    <w:uiPriority w:val="9"/>
    <w:unhideWhenUsed/>
    <w:qFormat/>
    <w:rsid w:val="008b2795"/>
    <w:pPr>
      <w:keepNext w:val="true"/>
      <w:keepLines/>
      <w:spacing w:before="200" w:after="0"/>
      <w:outlineLvl w:val="3"/>
    </w:pPr>
    <w:rPr>
      <w:rFonts w:ascii="Cambria" w:hAnsi="Cambria" w:eastAsia="" w:cs="" w:asciiTheme="majorHAnsi" w:cstheme="majorBidi" w:eastAsiaTheme="majorEastAsia" w:hAnsiTheme="majorHAnsi"/>
      <w:b/>
      <w:bCs/>
      <w:i/>
      <w:iCs/>
    </w:rPr>
  </w:style>
  <w:style w:type="character" w:styleId="DefaultParagraphFont" w:default="1">
    <w:name w:val="Default Paragraph Font"/>
    <w:uiPriority w:val="1"/>
    <w:semiHidden/>
    <w:unhideWhenUsed/>
    <w:qFormat/>
    <w:rPr/>
  </w:style>
  <w:style w:type="character" w:styleId="Nadpis1Char" w:customStyle="1">
    <w:name w:val="Nadpis 1 Char"/>
    <w:basedOn w:val="DefaultParagraphFont"/>
    <w:uiPriority w:val="9"/>
    <w:qFormat/>
    <w:rsid w:val="00fb6fae"/>
    <w:rPr>
      <w:rFonts w:ascii="Cambria" w:hAnsi="Cambria" w:eastAsia="" w:cs="" w:asciiTheme="majorHAnsi" w:cstheme="majorBidi" w:eastAsiaTheme="majorEastAsia" w:hAnsiTheme="majorHAnsi"/>
      <w:b/>
      <w:bCs/>
      <w:sz w:val="28"/>
      <w:szCs w:val="28"/>
    </w:rPr>
  </w:style>
  <w:style w:type="character" w:styleId="Nadpis2Char" w:customStyle="1">
    <w:name w:val="Nadpis 2 Char"/>
    <w:basedOn w:val="DefaultParagraphFont"/>
    <w:uiPriority w:val="9"/>
    <w:qFormat/>
    <w:rsid w:val="00fb6fae"/>
    <w:rPr>
      <w:rFonts w:ascii="Cambria" w:hAnsi="Cambria" w:eastAsia="" w:cs="" w:asciiTheme="majorHAnsi" w:cstheme="majorBidi" w:eastAsiaTheme="majorEastAsia" w:hAnsiTheme="majorHAnsi"/>
      <w:b/>
      <w:bCs/>
      <w:sz w:val="26"/>
      <w:szCs w:val="26"/>
    </w:rPr>
  </w:style>
  <w:style w:type="character" w:styleId="Nadpis3Char" w:customStyle="1">
    <w:name w:val="Nadpis 3 Char"/>
    <w:basedOn w:val="DefaultParagraphFont"/>
    <w:uiPriority w:val="9"/>
    <w:qFormat/>
    <w:rsid w:val="00e4507b"/>
    <w:rPr>
      <w:rFonts w:ascii="Cambria" w:hAnsi="Cambria" w:eastAsia="" w:cs="" w:asciiTheme="majorHAnsi" w:cstheme="majorBidi" w:eastAsiaTheme="majorEastAsia" w:hAnsiTheme="majorHAnsi"/>
      <w:b/>
      <w:bCs/>
    </w:rPr>
  </w:style>
  <w:style w:type="character" w:styleId="TextpoznpodarouChar" w:customStyle="1">
    <w:name w:val="Text pozn. pod čarou Char"/>
    <w:basedOn w:val="DefaultParagraphFont"/>
    <w:uiPriority w:val="99"/>
    <w:semiHidden/>
    <w:qFormat/>
    <w:rsid w:val="00e4507b"/>
    <w:rPr>
      <w:sz w:val="20"/>
      <w:szCs w:val="20"/>
    </w:rPr>
  </w:style>
  <w:style w:type="character" w:styleId="Znakypropoznmkupodarou">
    <w:name w:val="Znaky pro poznámku pod čarou"/>
    <w:uiPriority w:val="99"/>
    <w:semiHidden/>
    <w:unhideWhenUsed/>
    <w:qFormat/>
    <w:rsid w:val="00e4507b"/>
    <w:rPr>
      <w:vertAlign w:val="superscript"/>
    </w:rPr>
  </w:style>
  <w:style w:type="character" w:styleId="Ukotvenpoznmkypodarou">
    <w:name w:val="Footnote Reference"/>
    <w:rPr>
      <w:vertAlign w:val="superscript"/>
    </w:rPr>
  </w:style>
  <w:style w:type="character" w:styleId="TextbublinyChar" w:customStyle="1">
    <w:name w:val="Text bubliny Char"/>
    <w:basedOn w:val="DefaultParagraphFont"/>
    <w:link w:val="BalloonText"/>
    <w:uiPriority w:val="99"/>
    <w:semiHidden/>
    <w:qFormat/>
    <w:rsid w:val="00ab58d6"/>
    <w:rPr>
      <w:rFonts w:ascii="Tahoma" w:hAnsi="Tahoma" w:cs="Tahoma"/>
      <w:sz w:val="16"/>
      <w:szCs w:val="16"/>
    </w:rPr>
  </w:style>
  <w:style w:type="character" w:styleId="ZhlavChar" w:customStyle="1">
    <w:name w:val="Záhlaví Char"/>
    <w:basedOn w:val="DefaultParagraphFont"/>
    <w:uiPriority w:val="99"/>
    <w:qFormat/>
    <w:rsid w:val="008c22fe"/>
    <w:rPr/>
  </w:style>
  <w:style w:type="character" w:styleId="ZpatChar" w:customStyle="1">
    <w:name w:val="Zápatí Char"/>
    <w:basedOn w:val="DefaultParagraphFont"/>
    <w:uiPriority w:val="99"/>
    <w:qFormat/>
    <w:rsid w:val="008c22fe"/>
    <w:rPr/>
  </w:style>
  <w:style w:type="character" w:styleId="Nadpis4Char" w:customStyle="1">
    <w:name w:val="Nadpis 4 Char"/>
    <w:basedOn w:val="DefaultParagraphFont"/>
    <w:uiPriority w:val="9"/>
    <w:qFormat/>
    <w:rsid w:val="008b2795"/>
    <w:rPr>
      <w:rFonts w:ascii="Cambria" w:hAnsi="Cambria" w:eastAsia="" w:cs="" w:asciiTheme="majorHAnsi" w:cstheme="majorBidi" w:eastAsiaTheme="majorEastAsia" w:hAnsiTheme="majorHAnsi"/>
      <w:b/>
      <w:bCs/>
      <w:i/>
      <w:iCs/>
    </w:rPr>
  </w:style>
  <w:style w:type="character" w:styleId="ZkladntextChar" w:customStyle="1">
    <w:name w:val="Základní text Char"/>
    <w:basedOn w:val="DefaultParagraphFont"/>
    <w:semiHidden/>
    <w:qFormat/>
    <w:rsid w:val="00892f6a"/>
    <w:rPr>
      <w:rFonts w:ascii="Times New Roman" w:hAnsi="Times New Roman" w:eastAsia="Times New Roman" w:cs="Times New Roman"/>
      <w:sz w:val="24"/>
      <w:szCs w:val="24"/>
      <w:lang w:eastAsia="cs-CZ"/>
    </w:rPr>
  </w:style>
  <w:style w:type="character" w:styleId="Znakyprovysvtlivky">
    <w:name w:val="Znaky pro vysvětlivky"/>
    <w:qFormat/>
    <w:rPr>
      <w:vertAlign w:val="superscript"/>
    </w:rPr>
  </w:style>
  <w:style w:type="character" w:styleId="Ukotvenvysvtlivky">
    <w:name w:val="Endnote Reference"/>
    <w:rPr>
      <w:vertAlign w:val="superscript"/>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link w:val="ZkladntextChar"/>
    <w:semiHidden/>
    <w:rsid w:val="00892f6a"/>
    <w:pPr>
      <w:spacing w:lineRule="auto" w:line="360" w:before="0" w:after="120"/>
    </w:pPr>
    <w:rPr>
      <w:rFonts w:ascii="Times New Roman" w:hAnsi="Times New Roman" w:eastAsia="Times New Roman" w:cs="Times New Roman"/>
      <w:sz w:val="24"/>
      <w:szCs w:val="24"/>
      <w:lang w:eastAsia="cs-CZ"/>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paragraph" w:styleId="Poznmkapodarou">
    <w:name w:val="Footnote Text"/>
    <w:basedOn w:val="Normal"/>
    <w:link w:val="TextpoznpodarouChar"/>
    <w:uiPriority w:val="99"/>
    <w:semiHidden/>
    <w:unhideWhenUsed/>
    <w:rsid w:val="00e4507b"/>
    <w:pPr>
      <w:spacing w:lineRule="auto" w:line="240" w:before="0" w:after="0"/>
    </w:pPr>
    <w:rPr>
      <w:sz w:val="20"/>
      <w:szCs w:val="20"/>
    </w:rPr>
  </w:style>
  <w:style w:type="paragraph" w:styleId="ListParagraph">
    <w:name w:val="List Paragraph"/>
    <w:basedOn w:val="Normal"/>
    <w:uiPriority w:val="34"/>
    <w:qFormat/>
    <w:rsid w:val="00e4507b"/>
    <w:pPr>
      <w:spacing w:before="0" w:after="200"/>
      <w:ind w:left="720" w:hanging="0"/>
      <w:contextualSpacing/>
    </w:pPr>
    <w:rPr/>
  </w:style>
  <w:style w:type="paragraph" w:styleId="BalloonText">
    <w:name w:val="Balloon Text"/>
    <w:basedOn w:val="Normal"/>
    <w:link w:val="TextbublinyChar"/>
    <w:uiPriority w:val="99"/>
    <w:semiHidden/>
    <w:unhideWhenUsed/>
    <w:qFormat/>
    <w:rsid w:val="00ab58d6"/>
    <w:pPr>
      <w:spacing w:lineRule="auto" w:line="240" w:before="0" w:after="0"/>
    </w:pPr>
    <w:rPr>
      <w:rFonts w:ascii="Tahoma" w:hAnsi="Tahoma" w:cs="Tahoma"/>
      <w:sz w:val="16"/>
      <w:szCs w:val="16"/>
    </w:rPr>
  </w:style>
  <w:style w:type="paragraph" w:styleId="Caption1">
    <w:name w:val="caption1"/>
    <w:basedOn w:val="Normal"/>
    <w:next w:val="Normal"/>
    <w:uiPriority w:val="35"/>
    <w:unhideWhenUsed/>
    <w:qFormat/>
    <w:rsid w:val="00190d18"/>
    <w:pPr>
      <w:spacing w:lineRule="auto" w:line="240"/>
    </w:pPr>
    <w:rPr>
      <w:b/>
      <w:bCs/>
      <w:color w:val="4F81BD" w:themeColor="accent1"/>
      <w:sz w:val="18"/>
      <w:szCs w:val="18"/>
    </w:rPr>
  </w:style>
  <w:style w:type="paragraph" w:styleId="Zhlavazpat">
    <w:name w:val="Záhlaví a zápatí"/>
    <w:basedOn w:val="Normal"/>
    <w:qFormat/>
    <w:pPr/>
    <w:rPr/>
  </w:style>
  <w:style w:type="paragraph" w:styleId="Zhlav">
    <w:name w:val="Header"/>
    <w:basedOn w:val="Normal"/>
    <w:link w:val="ZhlavChar"/>
    <w:uiPriority w:val="99"/>
    <w:unhideWhenUsed/>
    <w:rsid w:val="008c22fe"/>
    <w:pPr>
      <w:tabs>
        <w:tab w:val="clear" w:pos="708"/>
        <w:tab w:val="center" w:pos="4536" w:leader="none"/>
        <w:tab w:val="right" w:pos="9072" w:leader="none"/>
      </w:tabs>
      <w:spacing w:lineRule="auto" w:line="240" w:before="0" w:after="0"/>
    </w:pPr>
    <w:rPr/>
  </w:style>
  <w:style w:type="paragraph" w:styleId="Zpat">
    <w:name w:val="Footer"/>
    <w:basedOn w:val="Normal"/>
    <w:link w:val="ZpatChar"/>
    <w:unhideWhenUsed/>
    <w:rsid w:val="008c22fe"/>
    <w:pPr>
      <w:tabs>
        <w:tab w:val="clear" w:pos="708"/>
        <w:tab w:val="center" w:pos="4536" w:leader="none"/>
        <w:tab w:val="right" w:pos="9072" w:leader="none"/>
      </w:tabs>
      <w:spacing w:lineRule="auto" w:line="240" w:before="0" w:after="0"/>
    </w:pPr>
    <w:rPr/>
  </w:style>
  <w:style w:type="paragraph" w:styleId="Obsahrmce">
    <w:name w:val="Obsah rámce"/>
    <w:basedOn w:val="Normal"/>
    <w:qFormat/>
    <w:pPr/>
    <w:rPr/>
  </w:style>
  <w:style w:type="paragraph" w:styleId="Obsahtabulky">
    <w:name w:val="Obsah tabulky"/>
    <w:basedOn w:val="Normal"/>
    <w:qFormat/>
    <w:pPr>
      <w:widowControl w:val="false"/>
      <w:suppressLineNumbers/>
    </w:pPr>
    <w:rPr/>
  </w:style>
  <w:style w:type="paragraph" w:styleId="Nadpistabulky">
    <w:name w:val="Nadpis tabulky"/>
    <w:basedOn w:val="Obsahtabulky"/>
    <w:qFormat/>
    <w:pPr>
      <w:suppressLineNumbers/>
      <w:jc w:val="center"/>
    </w:pPr>
    <w:rPr>
      <w:b/>
      <w:bCs/>
    </w:rPr>
  </w:style>
  <w:style w:type="numbering" w:styleId="NoList" w:default="1">
    <w:name w:val="No List"/>
    <w:uiPriority w:val="99"/>
    <w:semiHidden/>
    <w:unhideWhenUsed/>
    <w:qFormat/>
  </w:style>
  <w:style w:type="table" w:default="1" w:styleId="Normlntabulka">
    <w:name w:val="Normal Table"/>
    <w:uiPriority w:val="99"/>
    <w:semiHidden/>
    <w:unhideWhenUsed/>
    <w:tblPr>
      <w:tblCellMar>
        <w:top w:w="0" w:type="dxa"/>
        <w:left w:w="108" w:type="dxa"/>
        <w:bottom w:w="0" w:type="dxa"/>
        <w:right w:w="108" w:type="dxa"/>
      </w:tblCellMar>
    </w:tblPr>
  </w:style>
  <w:style w:type="table" w:styleId="Mkatabulky">
    <w:name w:val="Table Grid"/>
    <w:basedOn w:val="Normlntabulka"/>
    <w:uiPriority w:val="59"/>
    <w:rsid w:val="00f32a0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Relationship Id="rId20"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Motiv sady Office">
  <a:themeElements>
    <a:clrScheme name="Kancelář">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4383A36B29EB0A48B3EC96F815FC8191" ma:contentTypeVersion="9" ma:contentTypeDescription="Vytvoří nový dokument" ma:contentTypeScope="" ma:versionID="6e086e8340d1f2630934dccd77f57406">
  <xsd:schema xmlns:xsd="http://www.w3.org/2001/XMLSchema" xmlns:xs="http://www.w3.org/2001/XMLSchema" xmlns:p="http://schemas.microsoft.com/office/2006/metadata/properties" xmlns:ns2="deba14a2-c7e1-4295-89ee-1ad1230356fc" xmlns:ns3="069c942f-f893-43b7-a2c4-6329a00840ff" targetNamespace="http://schemas.microsoft.com/office/2006/metadata/properties" ma:root="true" ma:fieldsID="c9901498bb05b3f62c0178734a80f213" ns2:_="" ns3:_="">
    <xsd:import namespace="deba14a2-c7e1-4295-89ee-1ad1230356fc"/>
    <xsd:import namespace="069c942f-f893-43b7-a2c4-6329a00840f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ba14a2-c7e1-4295-89ee-1ad1230356fc"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Značky obrázků" ma:readOnly="false" ma:fieldId="{5cf76f15-5ced-4ddc-b409-7134ff3c332f}" ma:taxonomyMulti="true" ma:sspId="c4b6f9d5-67c2-4d7a-a8b3-854f6dba1df3"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69c942f-f893-43b7-a2c4-6329a00840f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59b42e6d-d268-4bba-a12a-4c7de83f746c}" ma:internalName="TaxCatchAll" ma:showField="CatchAllData" ma:web="069c942f-f893-43b7-a2c4-6329a0084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eba14a2-c7e1-4295-89ee-1ad1230356fc">
      <Terms xmlns="http://schemas.microsoft.com/office/infopath/2007/PartnerControls"/>
    </lcf76f155ced4ddcb4097134ff3c332f>
    <TaxCatchAll xmlns="069c942f-f893-43b7-a2c4-6329a00840ff" xsi:nil="true"/>
  </documentManagement>
</p:properties>
</file>

<file path=customXml/itemProps1.xml><?xml version="1.0" encoding="utf-8"?>
<ds:datastoreItem xmlns:ds="http://schemas.openxmlformats.org/officeDocument/2006/customXml" ds:itemID="{021CC0D0-97CF-46CE-8836-24A1A8BFB397}"/>
</file>

<file path=customXml/itemProps2.xml><?xml version="1.0" encoding="utf-8"?>
<ds:datastoreItem xmlns:ds="http://schemas.openxmlformats.org/officeDocument/2006/customXml" ds:itemID="{928F2316-B55F-4D58-942E-96F1DAA17EE0}"/>
</file>

<file path=customXml/itemProps3.xml><?xml version="1.0" encoding="utf-8"?>
<ds:datastoreItem xmlns:ds="http://schemas.openxmlformats.org/officeDocument/2006/customXml" ds:itemID="{59C1E7E1-7D26-4D84-921B-6BEEAEB9201B}">
  <ds:schemaRefs>
    <ds:schemaRef ds:uri="http://schemas.openxmlformats.org/officeDocument/2006/bibliography"/>
  </ds:schemaRefs>
</ds:datastoreItem>
</file>

<file path=customXml/itemProps4.xml><?xml version="1.0" encoding="utf-8"?>
<ds:datastoreItem xmlns:ds="http://schemas.openxmlformats.org/officeDocument/2006/customXml" ds:itemID="{DD2F55B9-5506-4FB0-8668-1BB23549E2FC}"/>
</file>

<file path=docProps/app.xml><?xml version="1.0" encoding="utf-8"?>
<Properties xmlns="http://schemas.openxmlformats.org/officeDocument/2006/extended-properties" xmlns:vt="http://schemas.openxmlformats.org/officeDocument/2006/docPropsVTypes">
  <Template>sablona_lab_cv_2012</Template>
  <TotalTime>223</TotalTime>
  <Application>LibreOffice/7.5.9.2$Linux_X86_64 LibreOffice_project/50$Build-2</Application>
  <AppVersion>15.0000</AppVersion>
  <Pages>13</Pages>
  <Words>2192</Words>
  <Characters>13640</Characters>
  <CharactersWithSpaces>15221</CharactersWithSpaces>
  <Paragraphs>542</Paragraphs>
  <Company>VOŠ a SPŠ Varnsdorf</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2020-09-10T09:26:00Z</dcterms:created>
  <dc:creator>pietschmann</dc:creator>
  <dc:description/>
  <dc:language>cs-CZ</dc:language>
  <cp:lastModifiedBy/>
  <cp:lastPrinted>2020-01-07T20:15:00Z</cp:lastPrinted>
  <dcterms:modified xsi:type="dcterms:W3CDTF">2024-04-25T15:52:18Z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0x0101004383A36B29EB0A48B3EC96F815FC8191</vt:lpwstr>
  </property>
</Properties>
</file>