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w:t>
      </w:r>
      <w:r>
        <w:rPr>
          <w:i/>
          <w:iCs/>
        </w:rPr>
        <w:t>F</w:t>
      </w:r>
      <w:r>
        <w:rPr/>
        <w:t xml:space="preserve">) ve vybraném čase </w:t>
      </w:r>
      <w:r>
        <w:rPr>
          <w:i/>
          <w:iCs/>
        </w:rPr>
        <w:t>t</w:t>
      </w:r>
      <w:r>
        <w:rPr/>
        <w:t> =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CMAX</m:t>
              </m:r>
            </m:sub>
          </m:sSub>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r>
            <w:rPr>
              <w:rFonts w:ascii="Cambria Math" w:hAnsi="Cambria Math"/>
            </w:rPr>
            <m:t xml:space="preserve">=</m:t>
          </m:r>
          <m:r>
            <w:rPr>
              <w:rFonts w:ascii="Cambria Math" w:hAnsi="Cambria Math"/>
            </w:rPr>
            <m:t xml:space="preserve">1</m:t>
          </m:r>
          <m:r>
            <w:rPr>
              <w:rFonts w:ascii="Cambria Math" w:hAnsi="Cambria Math"/>
            </w:rPr>
            <m:t xml:space="preserve">,34</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2,4</w:t>
            </w:r>
          </w:p>
        </w:tc>
        <w:tc>
          <w:tcPr>
            <w:tcW w:w="960" w:type="dxa"/>
            <w:tcBorders>
              <w:bottom w:val="single" w:sz="12" w:space="0" w:color="000000"/>
              <w:right w:val="single" w:sz="12" w:space="0" w:color="000000"/>
            </w:tcBorders>
          </w:tcPr>
          <w:p>
            <w:pPr>
              <w:pStyle w:val="Normal"/>
              <w:spacing w:before="0" w:after="200"/>
              <w:jc w:val="center"/>
              <w:rPr/>
            </w:pPr>
            <w:r>
              <w:rPr/>
              <w:t>0,4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3,15</w:t>
            </w:r>
          </w:p>
        </w:tc>
        <w:tc>
          <w:tcPr>
            <w:tcW w:w="960" w:type="dxa"/>
            <w:tcBorders>
              <w:bottom w:val="single" w:sz="12" w:space="0" w:color="000000"/>
              <w:right w:val="single" w:sz="12" w:space="0" w:color="000000"/>
            </w:tcBorders>
          </w:tcPr>
          <w:p>
            <w:pPr>
              <w:pStyle w:val="Normal"/>
              <w:spacing w:before="0" w:after="200"/>
              <w:jc w:val="center"/>
              <w:rPr/>
            </w:pPr>
            <w:r>
              <w:rPr/>
              <w:t>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3"/>
        <w:gridCol w:w="679"/>
        <w:gridCol w:w="678"/>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7</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9</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1,68</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1,82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0,28</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-1,51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-1,92</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-0,56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1,31</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0,82</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-1,09</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8"/>
        <w:gridCol w:w="750"/>
        <w:gridCol w:w="747"/>
        <w:gridCol w:w="749"/>
        <w:gridCol w:w="747"/>
        <w:gridCol w:w="749"/>
        <w:gridCol w:w="751"/>
        <w:gridCol w:w="755"/>
        <w:gridCol w:w="750"/>
        <w:gridCol w:w="748"/>
        <w:gridCol w:w="736"/>
      </w:tblGrid>
      <w:tr>
        <w:trPr>
          <w:trHeight w:val="27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55"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36"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-2</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-1,07</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0,84</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1,98</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1,3</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-0,58</w:t>
            </w:r>
          </w:p>
        </w:tc>
        <w:tc>
          <w:tcPr>
            <w:tcW w:w="755"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-1,92</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-1,5</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0,3</w:t>
            </w:r>
          </w:p>
        </w:tc>
        <w:tc>
          <w:tcPr>
            <w:tcW w:w="736"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1,83</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5"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6"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5"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6"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Měřící přístroj musí mít minimálně dva vstupní kanály, v nejlepším případě pak schopnost zobrazovat oba vstupy současně. Musí mít dostatečně velkou šířku měřeného pásma neboť vstup i výstup můstku obsahuje různé frekvenční složky. Časové osy obou kanálů musí být vzájemně sladěny. Vstupní impedance by měla být co nejvyšší, aby se minimalizovalo zkreslení signálu odběrem proudu z můstku. Usměrněné výstupní napětí Grötzova můstku obsahuje pulzace, které mohou způsobovat nežádoucí šum – zmírníme filtračním kondenzátorem. Na diodách dochází k úbytku napětí snižující výstupní napětí v porovnání se vstupním. Úbytek se liší použitými diodami a zatížením můstku. Můstek musí být napájen střídavým napětím, nebo může dojít k jeho poškození. Taktéž je důležitá polarita vstupu. V řetězových zapojení zdrojů může můstek způsobovat nestabilitu napájení. To je způsobeno snížením výst. napětí a zavedením pulzace.</w:t>
      </w:r>
    </w:p>
    <w:p>
      <w:pPr>
        <w:pStyle w:val="ListParagraph"/>
        <w:numPr>
          <w:ilvl w:val="0"/>
          <w:numId w:val="3"/>
        </w:numPr>
        <w:rPr/>
      </w:pPr>
      <w:r>
        <w:rPr/>
        <w:t>Odebíraný proud usměrňovače není sinusový a obsahuje harmonické složky; Snížení účinnosti způsobeném ztrátami na diodách a na kapacitě; Mohou zvyšovat napětí v rozvodné síty, tím, že kapacitní filtr ukládá energii během kladné půl-vlny vstupního napětí a uvolňuje ji během záporné půl-vlny - nárůst špičkového napětí; Kapacitní filtr může rezonovat s impedancí sítě</w:t>
      </w:r>
    </w:p>
    <w:p>
      <w:pPr>
        <w:pStyle w:val="ListParagraph"/>
        <w:numPr>
          <w:ilvl w:val="0"/>
          <w:numId w:val="3"/>
        </w:numPr>
        <w:rPr/>
      </w:pPr>
      <w:r>
        <w:rPr/>
      </w:r>
    </w:p>
    <w:tbl>
      <w:tblPr>
        <w:tblW w:w="5000" w:type="pct"/>
        <w:jc w:val="left"/>
        <w:tblInd w:w="55" w:type="dxa"/>
        <w:tblLayout w:type="fixed"/>
        <w:tblCellMar>
          <w:top w:w="55" w:type="dxa"/>
          <w:left w:w="55" w:type="dxa"/>
          <w:bottom w:w="55" w:type="dxa"/>
          <w:right w:w="55" w:type="dxa"/>
        </w:tblCellMar>
      </w:tblPr>
      <w:tblGrid>
        <w:gridCol w:w="1817"/>
        <w:gridCol w:w="2718"/>
        <w:gridCol w:w="2268"/>
        <w:gridCol w:w="2268"/>
      </w:tblGrid>
      <w:tr>
        <w:trPr>
          <w:cantSplit w:val="true"/>
        </w:trPr>
        <w:tc>
          <w:tcPr>
            <w:tcW w:w="1817" w:type="dxa"/>
            <w:tcBorders>
              <w:top w:val="single" w:sz="4" w:space="0" w:color="000000"/>
              <w:left w:val="single" w:sz="4" w:space="0" w:color="000000"/>
              <w:bottom w:val="single" w:sz="4" w:space="0" w:color="000000"/>
            </w:tcBorders>
          </w:tcPr>
          <w:p>
            <w:pPr>
              <w:pStyle w:val="Obsahtabulky"/>
              <w:spacing w:before="0" w:after="200"/>
              <w:rPr/>
            </w:pPr>
            <w:r>
              <w:rPr/>
              <w:t>Typ diody</w:t>
            </w:r>
          </w:p>
        </w:tc>
        <w:tc>
          <w:tcPr>
            <w:tcW w:w="2718" w:type="dxa"/>
            <w:tcBorders>
              <w:top w:val="single" w:sz="4" w:space="0" w:color="000000"/>
              <w:left w:val="single" w:sz="4" w:space="0" w:color="000000"/>
              <w:bottom w:val="single" w:sz="4" w:space="0" w:color="000000"/>
            </w:tcBorders>
          </w:tcPr>
          <w:p>
            <w:pPr>
              <w:pStyle w:val="Obsahtabulky"/>
              <w:spacing w:before="0" w:after="200"/>
              <w:rPr/>
            </w:pPr>
            <w:r>
              <w:rPr/>
              <w:t>Funkce</w:t>
            </w:r>
          </w:p>
        </w:tc>
        <w:tc>
          <w:tcPr>
            <w:tcW w:w="2268" w:type="dxa"/>
            <w:tcBorders>
              <w:top w:val="single" w:sz="4" w:space="0" w:color="000000"/>
              <w:left w:val="single" w:sz="4" w:space="0" w:color="000000"/>
              <w:bottom w:val="single" w:sz="4" w:space="0" w:color="000000"/>
            </w:tcBorders>
          </w:tcPr>
          <w:p>
            <w:pPr>
              <w:pStyle w:val="Obsahtabulky"/>
              <w:spacing w:before="0" w:after="200"/>
              <w:rPr/>
            </w:pPr>
            <w:r>
              <w:rPr/>
              <w:t>Vlastnosti</w:t>
            </w:r>
          </w:p>
        </w:tc>
        <w:tc>
          <w:tcPr>
            <w:tcW w:w="2268" w:type="dxa"/>
            <w:tcBorders>
              <w:top w:val="single" w:sz="4" w:space="0" w:color="000000"/>
              <w:left w:val="single" w:sz="4" w:space="0" w:color="000000"/>
              <w:bottom w:val="single" w:sz="4" w:space="0" w:color="000000"/>
              <w:right w:val="single" w:sz="4" w:space="0" w:color="000000"/>
            </w:tcBorders>
          </w:tcPr>
          <w:p>
            <w:pPr>
              <w:pStyle w:val="Obsahtabulky"/>
              <w:spacing w:before="0" w:after="200"/>
              <w:rPr/>
            </w:pPr>
            <w:r>
              <w:rPr/>
              <w:t>Použití</w:t>
            </w:r>
          </w:p>
        </w:tc>
      </w:tr>
      <w:tr>
        <w:trPr/>
        <w:tc>
          <w:tcPr>
            <w:tcW w:w="1817" w:type="dxa"/>
            <w:tcBorders>
              <w:left w:val="single" w:sz="4" w:space="0" w:color="000000"/>
              <w:bottom w:val="single" w:sz="4" w:space="0" w:color="000000"/>
            </w:tcBorders>
          </w:tcPr>
          <w:p>
            <w:pPr>
              <w:pStyle w:val="Obsahtabulky"/>
              <w:spacing w:before="0" w:after="200"/>
              <w:rPr/>
            </w:pPr>
            <w:r>
              <w:rPr/>
              <w:t>Usměrňovací</w:t>
            </w:r>
          </w:p>
        </w:tc>
        <w:tc>
          <w:tcPr>
            <w:tcW w:w="2718" w:type="dxa"/>
            <w:tcBorders>
              <w:left w:val="single" w:sz="4" w:space="0" w:color="000000"/>
              <w:bottom w:val="single" w:sz="4" w:space="0" w:color="000000"/>
            </w:tcBorders>
          </w:tcPr>
          <w:p>
            <w:pPr>
              <w:pStyle w:val="Obsahtabulky"/>
              <w:spacing w:before="0" w:after="200"/>
              <w:rPr/>
            </w:pPr>
            <w:r>
              <w:rPr/>
              <w:t>Usměrnění střídavého napětí na stejnosměrné</w:t>
            </w:r>
          </w:p>
        </w:tc>
        <w:tc>
          <w:tcPr>
            <w:tcW w:w="2268" w:type="dxa"/>
            <w:tcBorders>
              <w:left w:val="single" w:sz="4" w:space="0" w:color="000000"/>
              <w:bottom w:val="single" w:sz="4" w:space="0" w:color="000000"/>
            </w:tcBorders>
          </w:tcPr>
          <w:p>
            <w:pPr>
              <w:pStyle w:val="Obsahtabulky"/>
              <w:spacing w:before="0" w:after="200"/>
              <w:rPr/>
            </w:pPr>
            <w:r>
              <w:rPr/>
              <w:t>Nízký úbytek napětí v propustném směru, vysoký maximální proud</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usměrňovače střídačů</w:t>
            </w:r>
          </w:p>
        </w:tc>
      </w:tr>
      <w:tr>
        <w:trPr/>
        <w:tc>
          <w:tcPr>
            <w:tcW w:w="1817" w:type="dxa"/>
            <w:tcBorders>
              <w:left w:val="single" w:sz="4" w:space="0" w:color="000000"/>
              <w:bottom w:val="single" w:sz="4" w:space="0" w:color="000000"/>
            </w:tcBorders>
          </w:tcPr>
          <w:p>
            <w:pPr>
              <w:pStyle w:val="Obsahtabulky"/>
              <w:spacing w:before="0" w:after="200"/>
              <w:rPr/>
            </w:pPr>
            <w:r>
              <w:rPr/>
              <w:t>Schottkyho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Rychlé usměrňování a spínání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Nízký úbytek napětí v propustném směru, velmi rychlá doba spínání</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spínané regulátory, ochrana proti přepětí</w:t>
            </w:r>
          </w:p>
        </w:tc>
      </w:tr>
      <w:tr>
        <w:trPr/>
        <w:tc>
          <w:tcPr>
            <w:tcW w:w="1817" w:type="dxa"/>
            <w:tcBorders>
              <w:left w:val="single" w:sz="4" w:space="0" w:color="000000"/>
              <w:bottom w:val="single" w:sz="4" w:space="0" w:color="000000"/>
            </w:tcBorders>
          </w:tcPr>
          <w:p>
            <w:pPr>
              <w:pStyle w:val="Obsahtabulky"/>
              <w:spacing w:before="0" w:after="200"/>
              <w:rPr/>
            </w:pPr>
            <w:r>
              <w:rPr/>
              <w:t>Zenerova</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Regulace napětí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Provoz v průrazném směru s regulovaným napětím</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Stabilizace napětí, reference napětí, ochrana proti přepětí</w:t>
            </w:r>
          </w:p>
        </w:tc>
      </w:tr>
      <w:tr>
        <w:trPr/>
        <w:tc>
          <w:tcPr>
            <w:tcW w:w="1817" w:type="dxa"/>
            <w:tcBorders>
              <w:left w:val="single" w:sz="4" w:space="0" w:color="000000"/>
              <w:bottom w:val="single" w:sz="4" w:space="0" w:color="000000"/>
            </w:tcBorders>
          </w:tcPr>
          <w:p>
            <w:pPr>
              <w:pStyle w:val="Obsahtabulky"/>
              <w:spacing w:before="0" w:after="200"/>
              <w:rPr/>
            </w:pPr>
            <w:r>
              <w:rPr/>
              <w:t>Tunelové (Esakiho)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Vysokofrekvenční oscilátory a zesilovače</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Negativní diferenciální odpor v oblasti kladného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Mikrovlnné technologie, vysokofrekvenční oscilátory, detektory signálů</w:t>
            </w:r>
          </w:p>
        </w:tc>
      </w:tr>
      <w:tr>
        <w:trPr/>
        <w:tc>
          <w:tcPr>
            <w:tcW w:w="1817" w:type="dxa"/>
            <w:tcBorders>
              <w:left w:val="single" w:sz="4" w:space="0" w:color="000000"/>
              <w:bottom w:val="single" w:sz="4" w:space="0" w:color="000000"/>
            </w:tcBorders>
          </w:tcPr>
          <w:p>
            <w:pPr>
              <w:pStyle w:val="Obsahtabulky"/>
              <w:spacing w:before="0" w:after="200"/>
              <w:rPr/>
            </w:pPr>
            <w:r>
              <w:rPr/>
              <w:t>LED</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Vyzařují světlo při průchodu proudu</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Barva světla závisí na materiálu a dopování, nízká spotřeba energie</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Indikátory, osvětlení, displeje, optická komunikace</w:t>
            </w:r>
          </w:p>
        </w:tc>
      </w:tr>
      <w:tr>
        <w:trPr/>
        <w:tc>
          <w:tcPr>
            <w:tcW w:w="1817" w:type="dxa"/>
            <w:tcBorders>
              <w:left w:val="single" w:sz="4" w:space="0" w:color="000000"/>
              <w:bottom w:val="single" w:sz="4" w:space="0" w:color="000000"/>
            </w:tcBorders>
          </w:tcPr>
          <w:p>
            <w:pPr>
              <w:pStyle w:val="Obsahtabulky"/>
              <w:spacing w:before="0" w:after="200"/>
              <w:rPr/>
            </w:pPr>
            <w:r>
              <w:rPr/>
              <w:t>Laserové</w:t>
            </w:r>
          </w:p>
        </w:tc>
        <w:tc>
          <w:tcPr>
            <w:tcW w:w="2718" w:type="dxa"/>
            <w:tcBorders>
              <w:left w:val="single" w:sz="4" w:space="0" w:color="000000"/>
              <w:bottom w:val="single" w:sz="4" w:space="0" w:color="000000"/>
            </w:tcBorders>
          </w:tcPr>
          <w:p>
            <w:pPr>
              <w:pStyle w:val="Obsahtabulky"/>
              <w:spacing w:before="0" w:after="200"/>
              <w:rPr/>
            </w:pPr>
            <w:r>
              <w:rPr/>
              <w:t>Vyzařují koherentní laserové záření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Úzký paprsek monochromatického světla s vysokou intenzitou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Optické datové úložiště, laserové tiskárny, čtečky čárových kódů, lékařské lasery</w:t>
            </w:r>
          </w:p>
        </w:tc>
      </w:tr>
      <w:tr>
        <w:trPr/>
        <w:tc>
          <w:tcPr>
            <w:tcW w:w="1817" w:type="dxa"/>
            <w:tcBorders>
              <w:left w:val="single" w:sz="4" w:space="0" w:color="000000"/>
              <w:bottom w:val="single" w:sz="4" w:space="0" w:color="000000"/>
            </w:tcBorders>
          </w:tcPr>
          <w:p>
            <w:pPr>
              <w:pStyle w:val="Obsahtabulky"/>
              <w:spacing w:before="0" w:after="200"/>
              <w:rPr/>
            </w:pPr>
            <w:r>
              <w:rPr/>
              <w:t>Foto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Převádějí světlo na elektrický proud</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Proudový výstup úměrný intenzitě světla</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Světelné senzory, měření intenzity světla, optická komunikace</w:t>
            </w:r>
          </w:p>
        </w:tc>
      </w:tr>
      <w:tr>
        <w:trPr/>
        <w:tc>
          <w:tcPr>
            <w:tcW w:w="1817" w:type="dxa"/>
            <w:tcBorders>
              <w:left w:val="single" w:sz="4" w:space="0" w:color="000000"/>
              <w:bottom w:val="single" w:sz="4" w:space="0" w:color="000000"/>
            </w:tcBorders>
          </w:tcPr>
          <w:p>
            <w:pPr>
              <w:pStyle w:val="Obsahtabulky"/>
              <w:spacing w:before="0" w:after="200"/>
              <w:rPr/>
            </w:pPr>
            <w:r>
              <w:rPr/>
              <w:t>Kapacitní</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Kapacita se mění s napětím</w:t>
            </w:r>
          </w:p>
        </w:tc>
        <w:tc>
          <w:tcPr>
            <w:tcW w:w="2268" w:type="dxa"/>
            <w:tcBorders>
              <w:left w:val="single" w:sz="4" w:space="0" w:color="000000"/>
              <w:bottom w:val="single" w:sz="4" w:space="0" w:color="000000"/>
            </w:tcBorders>
          </w:tcPr>
          <w:p>
            <w:pPr>
              <w:pStyle w:val="Obsahtabulky"/>
              <w:spacing w:before="0" w:after="200"/>
              <w:rPr/>
            </w:pPr>
            <w:r>
              <w:rPr/>
              <w:t>Proměnná kapacita v závislosti na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Ladění obvodů, filtry, oscilátory</w:t>
            </w:r>
          </w:p>
        </w:tc>
      </w:tr>
    </w:tbl>
    <w:p>
      <w:pPr>
        <w:pStyle w:val="ListParagraph"/>
        <w:numPr>
          <w:ilvl w:val="0"/>
          <w:numId w:val="3"/>
        </w:numPr>
        <w:rPr/>
      </w:pPr>
      <w:r>
        <w:rPr/>
        <w:t>Grötzův můstek - čtyři usměrňovací diody uspořádané do můstku; nízký úbytek napětí v propustném směru, vysoká účinnost, relativně nízké náklady, pulzující výstupní napětí, vyšší harmonické složky; Použito v napájecích zdrojích, usměrňovačích střídačů, nabíječkách baterií.</w:t>
        <w:br/>
        <w:t>Dvoucestný usměrňovač s plnou vlnou - transformátor se středovým vývodem a čtyři usměrňovací diody pro usměrnění obou půlvln střídavého napětí; Nižší pulzace výstupního napětí než u Grötzova můstku, vyšší účinnost, vyšší náklady než u Grötzova můstku, vyšší složitost; Použito v napájecích zdrojích, audio zesolovačích.</w:t>
        <w:br/>
        <w:t>Dvoucestný usměrňovač s plnou vlnou - usměrňovací můstek a kondenzátor pro filtrování pulzací výstupního napětí Grötzova můstku; nižší pulzace výstupního napětí než u Grötzova můstku, nižší náklady než u dvoucestného usměrňovače s transformátorem se středovým vývodem, vyšší složitost než u Grötzova můstku; Použito v napájecích zdrojích, regulátory napětí</w:t>
        <w:br/>
        <w:t>Synchronní usměrňovač - spínané tranzistory pro usměrnění střídavého napětí a regulaci výstupního napětí; nejvyšší účinnost, nejnižší pulzace výstupního napětí, nejvyšší náklady, nejvyšší složitost; Použito ve vysoce účinných napájecích zdrojích a v kritických aplikacích.</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 xml:space="preserve">Dokázali jsme zapojit a ověřit funkci jednocestného a dvoucestného diodového usměrňovače </w:t>
      </w:r>
      <w:r>
        <w:rPr/>
        <w:t>a</w:t>
      </w:r>
      <w:r>
        <w:rPr/>
        <w:t xml:space="preserve"> změřit jejich vlastnosti. Byl pozorován vliv filtračního kondenzátoru </w:t>
      </w:r>
      <w:r>
        <w:rPr/>
        <w:t>ukazující jeho průběh vybíjeni a jeho vliv na snížení zvlnění výstupního napětí. Usměrňovač s operačním zesilovačem prokázal stabilnější a regulovanější výstupní napětí.</w:t>
      </w:r>
    </w:p>
    <w:p>
      <w:pPr>
        <w:pStyle w:val="Normal"/>
        <w:rPr/>
      </w:pPr>
      <w:r>
        <w:rPr/>
      </w:r>
    </w:p>
    <w:p>
      <w:pPr>
        <w:pStyle w:val="Heading2"/>
        <w:rPr/>
      </w:pPr>
      <w:r>
        <w:rPr/>
        <w:t>Informační prameny použité pro zpracování protokolu</w:t>
      </w:r>
    </w:p>
    <w:p>
      <w:pPr>
        <w:pStyle w:val="ListParagraph"/>
        <w:numPr>
          <w:ilvl w:val="0"/>
          <w:numId w:val="4"/>
        </w:numPr>
        <w:rPr/>
      </w:pPr>
      <w:r>
        <w:rPr/>
        <w:t>https://eluc.ikap.cz/sections/652</w:t>
      </w:r>
    </w:p>
    <w:p>
      <w:pPr>
        <w:pStyle w:val="ListParagraph"/>
        <w:numPr>
          <w:ilvl w:val="0"/>
          <w:numId w:val="4"/>
        </w:numPr>
        <w:rPr/>
      </w:pPr>
      <w:r>
        <w:rPr/>
        <w:t>https://www.pslib.cz/ivo.petricek/prezentace/vyuka_ELM/energeticka_mereni/ele_ukazka2.pdf</w:t>
      </w:r>
    </w:p>
    <w:p>
      <w:pPr>
        <w:pStyle w:val="ListParagraph"/>
        <w:numPr>
          <w:ilvl w:val="0"/>
          <w:numId w:val="4"/>
        </w:numPr>
        <w:rPr/>
      </w:pPr>
      <w:r>
        <w:rPr/>
        <w:t>https://youtu.be/o7ylwvqAkBA</w:t>
      </w:r>
    </w:p>
    <w:p>
      <w:pPr>
        <w:pStyle w:val="ListParagraph"/>
        <w:numPr>
          <w:ilvl w:val="0"/>
          <w:numId w:val="4"/>
        </w:numPr>
        <w:rPr/>
      </w:pPr>
      <w:r>
        <w:rPr/>
        <w:t>https://</w:t>
      </w:r>
      <w:r>
        <w:rPr/>
        <w:t>cs</w:t>
      </w:r>
      <w:r>
        <w:rPr/>
        <w:t>.wikipedia.org/wiki/Schottky</w:t>
      </w:r>
      <w:r>
        <w:rPr/>
        <w:t>ho_</w:t>
      </w:r>
      <w:r>
        <w:rPr/>
        <w:t>di</w:t>
      </w:r>
      <w:r>
        <w:rPr/>
        <w:t>o</w:t>
      </w:r>
      <w:r>
        <w:rPr/>
        <w:t>da</w:t>
      </w:r>
    </w:p>
    <w:p>
      <w:pPr>
        <w:pStyle w:val="ListParagraph"/>
        <w:numPr>
          <w:ilvl w:val="0"/>
          <w:numId w:val="4"/>
        </w:numPr>
        <w:rPr/>
      </w:pPr>
      <w:r>
        <w:rPr/>
        <w:t>http://fyzika.jreichl.com/main.article/view/338-usmernovac</w:t>
      </w:r>
    </w:p>
    <w:p>
      <w:pPr>
        <w:pStyle w:val="ListParagraph"/>
        <w:numPr>
          <w:ilvl w:val="0"/>
          <w:numId w:val="4"/>
        </w:numPr>
        <w:rPr/>
      </w:pPr>
      <w:r>
        <w:rPr/>
        <w:t>https://eluc.ikap.cz/verejne/lekce/1027</w:t>
      </w:r>
    </w:p>
    <w:p>
      <w:pPr>
        <w:pStyle w:val="ListParagraph"/>
        <w:numPr>
          <w:ilvl w:val="0"/>
          <w:numId w:val="4"/>
        </w:numPr>
        <w:rPr/>
      </w:pPr>
      <w:r>
        <w:rPr/>
        <w:t>https://edu.ceskatelevize.cz/video/7995-led-dioda</w:t>
      </w:r>
    </w:p>
    <w:p>
      <w:pPr>
        <w:pStyle w:val="ListParagraph"/>
        <w:numPr>
          <w:ilvl w:val="0"/>
          <w:numId w:val="4"/>
        </w:numPr>
        <w:rPr/>
      </w:pPr>
      <w:r>
        <w:rPr/>
        <w:t>https://cs.wikipedia.org/wiki/Tunelov%C3%A1_dioda</w:t>
      </w:r>
    </w:p>
    <w:p>
      <w:pPr>
        <w:pStyle w:val="ListParagraph"/>
        <w:numPr>
          <w:ilvl w:val="0"/>
          <w:numId w:val="4"/>
        </w:numPr>
        <w:rPr/>
      </w:pPr>
      <w:r>
        <w:rPr/>
        <w:t>http://isst3.hys.cz/wp-content/uploads/2018/10/%C5%98%C3%ADzen%C3%A9-usm%C4%9Br%C5%88ova%C4%8De.pdf</w:t>
      </w:r>
    </w:p>
    <w:p>
      <w:pPr>
        <w:pStyle w:val="ListParagraph"/>
        <w:numPr>
          <w:ilvl w:val="0"/>
          <w:numId w:val="4"/>
        </w:numPr>
        <w:rPr/>
      </w:pPr>
      <w:r>
        <w:rPr/>
        <w:t>https://eluc.ikap.cz/verejne/lekce/835</w:t>
      </w:r>
    </w:p>
    <w:p>
      <w:pPr>
        <w:pStyle w:val="ListParagraph"/>
        <w:numPr>
          <w:ilvl w:val="0"/>
          <w:numId w:val="4"/>
        </w:numPr>
        <w:rPr/>
      </w:pPr>
      <w:r>
        <w:rPr/>
        <w:t>https://eluc.ikap.cz/verejne/lekce/633</w:t>
      </w:r>
    </w:p>
    <w:p>
      <w:pPr>
        <w:pStyle w:val="ListParagraph"/>
        <w:numPr>
          <w:ilvl w:val="0"/>
          <w:numId w:val="4"/>
        </w:numPr>
        <w:rPr/>
      </w:pPr>
      <w:r>
        <w:rPr/>
        <w:t>https://eluc.ikap.cz/verejne/lekce/832</w:t>
      </w:r>
    </w:p>
    <w:p>
      <w:pPr>
        <w:pStyle w:val="ListParagraph"/>
        <w:numPr>
          <w:ilvl w:val="0"/>
          <w:numId w:val="4"/>
        </w:numPr>
        <w:rPr/>
      </w:pPr>
      <w:r>
        <w:rPr/>
        <w:t>https://cz.mouser.com/Search/DownloadDatasheet?url=https%3A%2F%2Fcz.mouser.com%2Fdatasheet%2F2%2F308%2F1%2FNDSH10120C_F155_D-3392646.pdf</w:t>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4</w:t>
            </w:r>
            <w:r>
              <w:rPr>
                <w:b/>
                <w:sz w:val="20"/>
                <w:szCs w:val="20"/>
              </w:rPr>
              <w:t>. června 2024</w:t>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8"/>
        <w:gridCol w:w="1814"/>
        <w:gridCol w:w="1686"/>
        <w:gridCol w:w="1801"/>
        <w:gridCol w:w="1817"/>
      </w:tblGrid>
      <w:tr>
        <w:trPr/>
        <w:tc>
          <w:tcPr>
            <w:tcW w:w="190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1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0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7"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0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tbl>
      <w:tblPr>
        <w:tblW w:w="5010" w:type="dxa"/>
        <w:jc w:val="left"/>
        <w:tblInd w:w="55" w:type="dxa"/>
        <w:tblLayout w:type="fixed"/>
        <w:tblCellMar>
          <w:top w:w="55" w:type="dxa"/>
          <w:left w:w="55" w:type="dxa"/>
          <w:bottom w:w="55" w:type="dxa"/>
          <w:right w:w="55" w:type="dxa"/>
        </w:tblCellMar>
      </w:tblPr>
      <w:tblGrid>
        <w:gridCol w:w="3576"/>
        <w:gridCol w:w="1434"/>
      </w:tblGrid>
      <w:tr>
        <w:trPr/>
        <w:tc>
          <w:tcPr>
            <w:tcW w:w="501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pPr>
            <w:r>
              <w:rPr/>
              <w:t>onsemi NDSH10120C-F155</w:t>
            </w:r>
          </w:p>
        </w:tc>
      </w:tr>
      <w:tr>
        <w:trPr/>
        <w:tc>
          <w:tcPr>
            <w:tcW w:w="3576" w:type="dxa"/>
            <w:tcBorders>
              <w:left w:val="single" w:sz="4" w:space="0" w:color="000000"/>
              <w:bottom w:val="single" w:sz="4" w:space="0" w:color="000000"/>
            </w:tcBorders>
            <w:vAlign w:val="center"/>
          </w:tcPr>
          <w:p>
            <w:pPr>
              <w:pStyle w:val="Obsahtabulky"/>
              <w:spacing w:before="0" w:after="200"/>
              <w:rPr/>
            </w:pPr>
            <w:r>
              <w:rPr/>
              <w:t>Vlastnost</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Hodnota</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b/>
                <w:bCs/>
                <w:vertAlign w:val="subscript"/>
              </w:rPr>
              <w:t>F</w:t>
            </w:r>
            <w:r>
              <w:rPr>
                <w:b/>
                <w:bCs/>
                <w:position w:val="0"/>
                <w:sz w:val="22"/>
                <w:vertAlign w:val="baseline"/>
              </w:rPr>
              <w:t xml:space="preserve"> – </w:t>
            </w:r>
            <w:r>
              <w:rPr>
                <w:b w:val="false"/>
                <w:bCs w:val="false"/>
                <w:position w:val="0"/>
                <w:sz w:val="22"/>
                <w:vertAlign w:val="baseline"/>
              </w:rPr>
              <w:t>propustný proud</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12 A</w:t>
            </w:r>
          </w:p>
        </w:tc>
      </w:tr>
      <w:tr>
        <w:trPr/>
        <w:tc>
          <w:tcPr>
            <w:tcW w:w="3576" w:type="dxa"/>
            <w:tcBorders>
              <w:left w:val="single" w:sz="4" w:space="0" w:color="000000"/>
              <w:bottom w:val="single" w:sz="4" w:space="0" w:color="000000"/>
            </w:tcBorders>
            <w:vAlign w:val="center"/>
          </w:tcPr>
          <w:p>
            <w:pPr>
              <w:pStyle w:val="Obsahtabulky"/>
              <w:spacing w:before="0" w:after="200"/>
              <w:rPr/>
            </w:pPr>
            <w:r>
              <w:rPr/>
              <w:t>V</w:t>
            </w:r>
            <w:r>
              <w:rPr>
                <w:vertAlign w:val="subscript"/>
              </w:rPr>
              <w:t>RRM</w:t>
            </w:r>
            <w:r>
              <w:rPr>
                <w:position w:val="0"/>
                <w:sz w:val="22"/>
                <w:vertAlign w:val="baseline"/>
              </w:rPr>
              <w:t xml:space="preserve"> – opakované závěrné napětí</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1,2 kV</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vertAlign w:val="subscript"/>
              </w:rPr>
              <w:t>F,SM</w:t>
            </w:r>
            <w:r>
              <w:rPr>
                <w:position w:val="0"/>
                <w:sz w:val="22"/>
                <w:vertAlign w:val="baseline"/>
              </w:rPr>
              <w:t xml:space="preserve"> – nárazový propustný proud</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546 A</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vertAlign w:val="subscript"/>
              </w:rPr>
              <w:t>R</w:t>
            </w:r>
            <w:r>
              <w:rPr>
                <w:position w:val="0"/>
                <w:sz w:val="22"/>
                <w:vertAlign w:val="baseline"/>
              </w:rPr>
              <w:t xml:space="preserve"> – závěrný proud</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200 </w:t>
            </w:r>
            <w:r>
              <w:rPr>
                <w:rFonts w:eastAsia="Calibri" w:cs="" w:ascii="DejaVu Sans" w:hAnsi="DejaVu Sans"/>
              </w:rPr>
              <w:t>µ</w:t>
            </w:r>
            <w:r>
              <w:rPr/>
              <w:t>A</w:t>
            </w:r>
          </w:p>
        </w:tc>
      </w:tr>
      <w:tr>
        <w:trPr/>
        <w:tc>
          <w:tcPr>
            <w:tcW w:w="3576" w:type="dxa"/>
            <w:tcBorders>
              <w:left w:val="single" w:sz="4" w:space="0" w:color="000000"/>
              <w:bottom w:val="single" w:sz="4" w:space="0" w:color="000000"/>
            </w:tcBorders>
            <w:vAlign w:val="center"/>
          </w:tcPr>
          <w:p>
            <w:pPr>
              <w:pStyle w:val="Obsahtabulky"/>
              <w:spacing w:before="0" w:after="200"/>
              <w:rPr/>
            </w:pPr>
            <w:r>
              <w:rPr/>
              <w:t>Minimální/Maximální provozní teplota</w:t>
            </w:r>
          </w:p>
        </w:tc>
        <w:tc>
          <w:tcPr>
            <w:tcW w:w="1434" w:type="dxa"/>
            <w:tcBorders>
              <w:left w:val="single" w:sz="4" w:space="0" w:color="000000"/>
              <w:bottom w:val="single" w:sz="4" w:space="0" w:color="000000"/>
              <w:right w:val="single" w:sz="4" w:space="0" w:color="000000"/>
            </w:tcBorders>
            <w:vAlign w:val="center"/>
          </w:tcPr>
          <w:p>
            <w:pPr>
              <w:pStyle w:val="Obsahtabulky"/>
              <w:widowControl w:val="false"/>
              <w:suppressLineNumbers/>
              <w:spacing w:before="0" w:after="200"/>
              <w:rPr/>
            </w:pPr>
            <w:r>
              <w:rPr/>
              <w:t>-</w:t>
            </w:r>
            <w:r>
              <w:rPr/>
              <w:t>55 °C/+175 °C</w:t>
            </w:r>
          </w:p>
        </w:tc>
      </w:tr>
      <w:tr>
        <w:trPr/>
        <w:tc>
          <w:tcPr>
            <w:tcW w:w="3576" w:type="dxa"/>
            <w:tcBorders>
              <w:left w:val="single" w:sz="4" w:space="0" w:color="000000"/>
              <w:bottom w:val="single" w:sz="4" w:space="0" w:color="000000"/>
            </w:tcBorders>
            <w:vAlign w:val="center"/>
          </w:tcPr>
          <w:p>
            <w:pPr>
              <w:pStyle w:val="Obsahtabulky"/>
              <w:spacing w:before="0" w:after="200"/>
              <w:rPr/>
            </w:pPr>
            <w:r>
              <w:rPr/>
              <w:t>P</w:t>
            </w:r>
            <w:r>
              <w:rPr>
                <w:vertAlign w:val="subscript"/>
              </w:rPr>
              <w:t>D</w:t>
            </w:r>
            <w:r>
              <w:rPr>
                <w:position w:val="0"/>
                <w:sz w:val="22"/>
                <w:vertAlign w:val="baseline"/>
              </w:rPr>
              <w:t xml:space="preserve"> – chlazený výkon</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94 W</w:t>
            </w:r>
          </w:p>
        </w:tc>
      </w:tr>
      <w:tr>
        <w:trPr/>
        <w:tc>
          <w:tcPr>
            <w:tcW w:w="3576" w:type="dxa"/>
            <w:tcBorders>
              <w:left w:val="single" w:sz="4" w:space="0" w:color="000000"/>
              <w:bottom w:val="single" w:sz="4" w:space="0" w:color="000000"/>
            </w:tcBorders>
            <w:vAlign w:val="center"/>
          </w:tcPr>
          <w:p>
            <w:pPr>
              <w:pStyle w:val="Obsahtabulky"/>
              <w:spacing w:before="0" w:after="200"/>
              <w:rPr>
                <w:position w:val="0"/>
                <w:sz w:val="22"/>
                <w:vertAlign w:val="baseline"/>
              </w:rPr>
            </w:pPr>
            <w:r>
              <w:rPr>
                <w:position w:val="0"/>
                <w:sz w:val="22"/>
                <w:vertAlign w:val="baseline"/>
              </w:rPr>
              <w:t>V</w:t>
            </w:r>
            <w:r>
              <w:rPr>
                <w:vertAlign w:val="subscript"/>
              </w:rPr>
              <w:t>R</w:t>
            </w:r>
            <w:r>
              <w:rPr>
                <w:position w:val="0"/>
                <w:sz w:val="22"/>
                <w:vertAlign w:val="baseline"/>
              </w:rPr>
              <w:t xml:space="preserve"> – závěrné napětí</w:t>
            </w:r>
          </w:p>
        </w:tc>
        <w:tc>
          <w:tcPr>
            <w:tcW w:w="1434" w:type="dxa"/>
            <w:tcBorders>
              <w:left w:val="single" w:sz="4" w:space="0" w:color="000000"/>
              <w:bottom w:val="single" w:sz="4" w:space="0" w:color="000000"/>
              <w:right w:val="single" w:sz="4" w:space="0" w:color="000000"/>
            </w:tcBorders>
            <w:vAlign w:val="center"/>
          </w:tcPr>
          <w:p>
            <w:pPr>
              <w:pStyle w:val="Obsahtabulky"/>
              <w:spacing w:before="0" w:after="200"/>
              <w:rPr/>
            </w:pPr>
            <w:r>
              <w:rPr/>
              <w:t>1,2 kV</w:t>
            </w:r>
          </w:p>
        </w:tc>
      </w:tr>
    </w:tbl>
    <w:p>
      <w:pPr>
        <w:pStyle w:val="Normal"/>
        <w:spacing w:before="0" w:after="200"/>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306</TotalTime>
  <Application>LibreOffice/24.2.3.2$Linux_X86_64 LibreOffice_project/420$Build-2</Application>
  <AppVersion>15.0000</AppVersion>
  <Pages>16</Pages>
  <Words>2580</Words>
  <Characters>16621</Characters>
  <CharactersWithSpaces>18763</CharactersWithSpaces>
  <Paragraphs>390</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
  <cp:lastPrinted>2023-12-11T11:34:00Z</cp:lastPrinted>
  <dcterms:modified xsi:type="dcterms:W3CDTF">2024-06-04T21:22:04Z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