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WEEK 4 ANALYTICAL REPORT</w:t>
      </w:r>
    </w:p>
    <w:p>
      <w:pPr>
        <w:jc w:val="center"/>
      </w:pPr>
      <w:r>
        <w:rPr>
          <w:b/>
          <w:sz w:val="28"/>
        </w:rPr>
        <w:t>Exploratory Data Analysis, Statistical Testing &amp; Feature Engineering</w:t>
      </w:r>
    </w:p>
    <w:p>
      <w:pPr>
        <w:jc w:val="center"/>
      </w:pPr>
      <w:r>
        <w:br/>
        <w:t>Data Science with Python Analyst Internship</w:t>
        <w:br/>
      </w:r>
      <w:r>
        <w:t>Global Beauty &amp; Wellness E-commerce Transactions</w:t>
        <w:br/>
      </w:r>
      <w:r>
        <w:t>Analysis period: 1 January 2020 – 31 December 2023</w:t>
        <w:br/>
      </w:r>
      <w:r>
        <w:br/>
        <w:t>Prepared by: Honey Verma</w:t>
        <w:br/>
      </w:r>
      <w:r>
        <w:t>Submission version: Revised analytical report</w:t>
      </w:r>
    </w:p>
    <w:p>
      <w:r>
        <w:br w:type="page"/>
      </w:r>
    </w:p>
    <w:p>
      <w:pPr>
        <w:pStyle w:val="Heading1"/>
      </w:pPr>
      <w:r>
        <w:t>Executive Summary</w:t>
      </w:r>
    </w:p>
    <w:p>
      <w:r>
        <w:t>This report presents an exploratory and business-focused analysis of a global beauty and wellness e-commerce transaction dataset. The transaction table contains 51,290 line-level records, 17,415 unique customers and 25,728 unique orders covering 2020–2023. The work combines data validation, descriptive statistics, distribution and boxplot review, time-based performance analysis, category and market profitability comparisons, customer activity analysis, non-parametric statistical testing, correlation analysis and engineered features.</w:t>
      </w:r>
    </w:p>
    <w:p>
      <w:r>
        <w:t>The most important business signal is a divergence between growth and profitability in 2023: sales rose 23.82% year over year, while profit declined 12.16%. Home and Accessories had a negative overall margin of −4.59%, and Hair care was close to break-even at 0.36%. Face care and Make up showed the highest observed category margins, at 35.68% and 32.91%, respectively. Europe had the highest observed market margin (22.30%), whereas Asia Pacific had the highest sales among the listed markets but a lower margin (12.49%).</w:t>
      </w:r>
    </w:p>
    <w:p>
      <w:r>
        <w:t>At customer level, 9,768 of 17,415 customers (56.09%) were labelled inactive under the project's recency rule (last purchase more than 365 days ago), and 11,979 (68.79%) were one-time buyers. These are descriptive retention indicators, not a validated churn model. Mann–Whitney U tests found statistically significant differences between active and inactive groups for six customer metrics (all p &lt; .001). Statistical significance should be interpreted alongside effect size, practical impact and the large sample size.</w:t>
      </w:r>
    </w:p>
    <w:p>
      <w:r>
        <w:t>The report recommends investigating category-level costs and pricing, reviewing discount policies, examining the 2023 profit decline, testing targeted win-back and repeat-purchase campaigns, and monitoring margin—not sales alone. The dataset contains no direct evidence establishing the cause of the profit decline; further product-, discount-band-, cost- and return-level analyses are needed before causal conclusions are drawn.</w:t>
      </w:r>
    </w:p>
    <w:p>
      <w:pPr>
        <w:pStyle w:val="Heading1"/>
      </w:pPr>
      <w:r>
        <w:t>1. Objectives</w:t>
      </w:r>
    </w:p>
    <w:p>
      <w:pPr>
        <w:pStyle w:val="ListBullet"/>
      </w:pPr>
      <w:r>
        <w:t>Validate the integrity, coverage and structure of the transaction and customer-level datasets.</w:t>
      </w:r>
    </w:p>
    <w:p>
      <w:pPr>
        <w:pStyle w:val="ListBullet"/>
      </w:pPr>
      <w:r>
        <w:t>Describe the distributions and variability of Quantity, Sales, Discount and Profit.</w:t>
      </w:r>
    </w:p>
    <w:p>
      <w:pPr>
        <w:pStyle w:val="ListBullet"/>
      </w:pPr>
      <w:r>
        <w:t>Compare annual performance, product-category performance and market-level profitability.</w:t>
      </w:r>
    </w:p>
    <w:p>
      <w:pPr>
        <w:pStyle w:val="ListBullet"/>
      </w:pPr>
      <w:r>
        <w:t>Compare customer activity groups using descriptive summaries and Mann–Whitney U tests.</w:t>
      </w:r>
    </w:p>
    <w:p>
      <w:pPr>
        <w:pStyle w:val="ListBullet"/>
      </w:pPr>
      <w:r>
        <w:t>Engineer interpretable customer and transaction features for subsequent analytics.</w:t>
      </w:r>
    </w:p>
    <w:p>
      <w:pPr>
        <w:pStyle w:val="ListBullet"/>
      </w:pPr>
      <w:r>
        <w:t>Translate observed patterns into cautious, testable business recommendations.</w:t>
      </w:r>
    </w:p>
    <w:p>
      <w:pPr>
        <w:pStyle w:val="Heading1"/>
      </w:pPr>
      <w:r>
        <w:t>2. Dataset Description and Scope</w:t>
      </w:r>
    </w:p>
    <w:p>
      <w:r>
        <w:t>The analysis uses the public Beauty E-commerce Analytics repository, which describes a global beauty/skincare e-commerce dataset with transaction-line-level records and fields for orders, customers, geography, product hierarchy, quantity, sales, discount and profit. The local transaction dataset used in this analysis contains the following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Dataset</w:t>
            </w:r>
          </w:p>
        </w:tc>
        <w:tc>
          <w:tcPr>
            <w:tcW w:type="dxa" w:w="3312"/>
            <w:vAlign w:val="center"/>
            <w:shd w:fill="D9EAF7"/>
          </w:tcPr>
          <w:p>
            <w:pPr>
              <w:spacing w:after="0"/>
            </w:pPr>
            <w:r/>
            <w:r>
              <w:rPr>
                <w:rFonts w:ascii="Arial" w:hAnsi="Arial"/>
                <w:b/>
                <w:sz w:val="17"/>
              </w:rPr>
              <w:t>Rows × columns</w:t>
            </w:r>
          </w:p>
        </w:tc>
        <w:tc>
          <w:tcPr>
            <w:tcW w:type="dxa" w:w="3312"/>
            <w:vAlign w:val="center"/>
            <w:shd w:fill="D9EAF7"/>
          </w:tcPr>
          <w:p>
            <w:pPr>
              <w:spacing w:after="0"/>
            </w:pPr>
            <w:r/>
            <w:r>
              <w:rPr>
                <w:rFonts w:ascii="Arial" w:hAnsi="Arial"/>
                <w:b/>
                <w:sz w:val="17"/>
              </w:rPr>
              <w:t>Key content</w:t>
            </w:r>
          </w:p>
        </w:tc>
      </w:tr>
      <w:tr>
        <w:tc>
          <w:tcPr>
            <w:tcW w:type="dxa" w:w="3312"/>
            <w:vAlign w:val="center"/>
          </w:tcPr>
          <w:p>
            <w:pPr>
              <w:spacing w:after="0"/>
            </w:pPr>
            <w:r/>
            <w:r>
              <w:rPr>
                <w:rFonts w:ascii="Arial" w:hAnsi="Arial"/>
                <w:b w:val="0"/>
                <w:sz w:val="17"/>
              </w:rPr>
              <w:t>Transaction-level</w:t>
            </w:r>
          </w:p>
        </w:tc>
        <w:tc>
          <w:tcPr>
            <w:tcW w:type="dxa" w:w="3312"/>
            <w:vAlign w:val="center"/>
          </w:tcPr>
          <w:p>
            <w:pPr>
              <w:spacing w:after="0"/>
            </w:pPr>
            <w:r/>
            <w:r>
              <w:rPr>
                <w:rFonts w:ascii="Arial" w:hAnsi="Arial"/>
                <w:b w:val="0"/>
                <w:sz w:val="17"/>
              </w:rPr>
              <w:t>51,290 × 19 before engineering; 51,290 × 27 after engineering</w:t>
            </w:r>
          </w:p>
        </w:tc>
        <w:tc>
          <w:tcPr>
            <w:tcW w:type="dxa" w:w="3312"/>
            <w:vAlign w:val="center"/>
          </w:tcPr>
          <w:p>
            <w:pPr>
              <w:spacing w:after="0"/>
            </w:pPr>
            <w:r/>
            <w:r>
              <w:rPr>
                <w:rFonts w:ascii="Arial" w:hAnsi="Arial"/>
                <w:b w:val="0"/>
                <w:sz w:val="17"/>
              </w:rPr>
              <w:t>Order/customer identifiers, dates, segment, geography, product/category, quantity, sales, discount and profit.</w:t>
            </w:r>
          </w:p>
        </w:tc>
      </w:tr>
      <w:tr>
        <w:tc>
          <w:tcPr>
            <w:tcW w:type="dxa" w:w="3312"/>
            <w:vAlign w:val="center"/>
          </w:tcPr>
          <w:p>
            <w:pPr>
              <w:spacing w:after="0"/>
            </w:pPr>
            <w:r/>
            <w:r>
              <w:rPr>
                <w:rFonts w:ascii="Arial" w:hAnsi="Arial"/>
                <w:b w:val="0"/>
                <w:sz w:val="17"/>
              </w:rPr>
              <w:t>Customer-level</w:t>
            </w:r>
          </w:p>
        </w:tc>
        <w:tc>
          <w:tcPr>
            <w:tcW w:type="dxa" w:w="3312"/>
            <w:vAlign w:val="center"/>
          </w:tcPr>
          <w:p>
            <w:pPr>
              <w:spacing w:after="0"/>
            </w:pPr>
            <w:r/>
            <w:r>
              <w:rPr>
                <w:rFonts w:ascii="Arial" w:hAnsi="Arial"/>
                <w:b w:val="0"/>
                <w:sz w:val="17"/>
              </w:rPr>
              <w:t>17,415 × 9 before engineering; 17,415 × 12 after engineering</w:t>
            </w:r>
          </w:p>
        </w:tc>
        <w:tc>
          <w:tcPr>
            <w:tcW w:type="dxa" w:w="3312"/>
            <w:vAlign w:val="center"/>
          </w:tcPr>
          <w:p>
            <w:pPr>
              <w:spacing w:after="0"/>
            </w:pPr>
            <w:r/>
            <w:r>
              <w:rPr>
                <w:rFonts w:ascii="Arial" w:hAnsi="Arial"/>
                <w:b w:val="0"/>
                <w:sz w:val="17"/>
              </w:rPr>
              <w:t>Recency, frequency, monetary value, quantity, profit, discount, average order value and activity status.</w:t>
            </w:r>
          </w:p>
        </w:tc>
      </w:tr>
    </w:tbl>
    <w:p/>
    <w:p>
      <w:r>
        <w:t>The transaction table spans 2020-01-01 to 2023-12-31. It is important to distinguish a transaction-line row from an order: a single order can contain multiple product lines. Accordingly, transaction counts and unique order counts are not interchangeable.</w:t>
      </w:r>
    </w:p>
    <w:p>
      <w:pPr>
        <w:pStyle w:val="Heading1"/>
      </w:pPr>
      <w:r>
        <w:t>3. Data Quality and Preparation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Validation check</w:t>
            </w:r>
          </w:p>
        </w:tc>
        <w:tc>
          <w:tcPr>
            <w:tcW w:type="dxa" w:w="3312"/>
            <w:vAlign w:val="center"/>
            <w:shd w:fill="D9EAF7"/>
          </w:tcPr>
          <w:p>
            <w:pPr>
              <w:spacing w:after="0"/>
            </w:pPr>
            <w:r/>
            <w:r>
              <w:rPr>
                <w:rFonts w:ascii="Arial" w:hAnsi="Arial"/>
                <w:b/>
                <w:sz w:val="17"/>
              </w:rPr>
              <w:t>Transaction dataset</w:t>
            </w:r>
          </w:p>
        </w:tc>
        <w:tc>
          <w:tcPr>
            <w:tcW w:type="dxa" w:w="3312"/>
            <w:vAlign w:val="center"/>
            <w:shd w:fill="D9EAF7"/>
          </w:tcPr>
          <w:p>
            <w:pPr>
              <w:spacing w:after="0"/>
            </w:pPr>
            <w:r/>
            <w:r>
              <w:rPr>
                <w:rFonts w:ascii="Arial" w:hAnsi="Arial"/>
                <w:b/>
                <w:sz w:val="17"/>
              </w:rPr>
              <w:t>Customer dataset</w:t>
            </w:r>
          </w:p>
        </w:tc>
      </w:tr>
      <w:tr>
        <w:tc>
          <w:tcPr>
            <w:tcW w:type="dxa" w:w="3312"/>
            <w:vAlign w:val="center"/>
          </w:tcPr>
          <w:p>
            <w:pPr>
              <w:spacing w:after="0"/>
            </w:pPr>
            <w:r/>
            <w:r>
              <w:rPr>
                <w:rFonts w:ascii="Arial" w:hAnsi="Arial"/>
                <w:b w:val="0"/>
                <w:sz w:val="17"/>
              </w:rPr>
              <w:t>Shape before feature engineering</w:t>
            </w:r>
          </w:p>
        </w:tc>
        <w:tc>
          <w:tcPr>
            <w:tcW w:type="dxa" w:w="3312"/>
            <w:vAlign w:val="center"/>
          </w:tcPr>
          <w:p>
            <w:pPr>
              <w:spacing w:after="0"/>
            </w:pPr>
            <w:r/>
            <w:r>
              <w:rPr>
                <w:rFonts w:ascii="Arial" w:hAnsi="Arial"/>
                <w:b w:val="0"/>
                <w:sz w:val="17"/>
              </w:rPr>
              <w:t>51,290 × 19</w:t>
            </w:r>
          </w:p>
        </w:tc>
        <w:tc>
          <w:tcPr>
            <w:tcW w:type="dxa" w:w="3312"/>
            <w:vAlign w:val="center"/>
          </w:tcPr>
          <w:p>
            <w:pPr>
              <w:spacing w:after="0"/>
            </w:pPr>
            <w:r/>
            <w:r>
              <w:rPr>
                <w:rFonts w:ascii="Arial" w:hAnsi="Arial"/>
                <w:b w:val="0"/>
                <w:sz w:val="17"/>
              </w:rPr>
              <w:t>17,415 × 9</w:t>
            </w:r>
          </w:p>
        </w:tc>
      </w:tr>
      <w:tr>
        <w:tc>
          <w:tcPr>
            <w:tcW w:type="dxa" w:w="3312"/>
            <w:vAlign w:val="center"/>
          </w:tcPr>
          <w:p>
            <w:pPr>
              <w:spacing w:after="0"/>
            </w:pPr>
            <w:r/>
            <w:r>
              <w:rPr>
                <w:rFonts w:ascii="Arial" w:hAnsi="Arial"/>
                <w:b w:val="0"/>
                <w:sz w:val="17"/>
              </w:rPr>
              <w:t>Missing values</w:t>
            </w:r>
          </w:p>
        </w:tc>
        <w:tc>
          <w:tcPr>
            <w:tcW w:type="dxa" w:w="3312"/>
            <w:vAlign w:val="center"/>
          </w:tcPr>
          <w:p>
            <w:pPr>
              <w:spacing w:after="0"/>
            </w:pPr>
            <w:r/>
            <w:r>
              <w:rPr>
                <w:rFonts w:ascii="Arial" w:hAnsi="Arial"/>
                <w:b w:val="0"/>
                <w:sz w:val="17"/>
              </w:rPr>
              <w:t>0</w:t>
            </w:r>
          </w:p>
        </w:tc>
        <w:tc>
          <w:tcPr>
            <w:tcW w:type="dxa" w:w="3312"/>
            <w:vAlign w:val="center"/>
          </w:tcPr>
          <w:p>
            <w:pPr>
              <w:spacing w:after="0"/>
            </w:pPr>
            <w:r/>
            <w:r>
              <w:rPr>
                <w:rFonts w:ascii="Arial" w:hAnsi="Arial"/>
                <w:b w:val="0"/>
                <w:sz w:val="17"/>
              </w:rPr>
              <w:t>0</w:t>
            </w:r>
          </w:p>
        </w:tc>
      </w:tr>
      <w:tr>
        <w:tc>
          <w:tcPr>
            <w:tcW w:type="dxa" w:w="3312"/>
            <w:vAlign w:val="center"/>
          </w:tcPr>
          <w:p>
            <w:pPr>
              <w:spacing w:after="0"/>
            </w:pPr>
            <w:r/>
            <w:r>
              <w:rPr>
                <w:rFonts w:ascii="Arial" w:hAnsi="Arial"/>
                <w:b w:val="0"/>
                <w:sz w:val="17"/>
              </w:rPr>
              <w:t>Duplicate rows</w:t>
            </w:r>
          </w:p>
        </w:tc>
        <w:tc>
          <w:tcPr>
            <w:tcW w:type="dxa" w:w="3312"/>
            <w:vAlign w:val="center"/>
          </w:tcPr>
          <w:p>
            <w:pPr>
              <w:spacing w:after="0"/>
            </w:pPr>
            <w:r/>
            <w:r>
              <w:rPr>
                <w:rFonts w:ascii="Arial" w:hAnsi="Arial"/>
                <w:b w:val="0"/>
                <w:sz w:val="17"/>
              </w:rPr>
              <w:t>0</w:t>
            </w:r>
          </w:p>
        </w:tc>
        <w:tc>
          <w:tcPr>
            <w:tcW w:type="dxa" w:w="3312"/>
            <w:vAlign w:val="center"/>
          </w:tcPr>
          <w:p>
            <w:pPr>
              <w:spacing w:after="0"/>
            </w:pPr>
            <w:r/>
            <w:r>
              <w:rPr>
                <w:rFonts w:ascii="Arial" w:hAnsi="Arial"/>
                <w:b w:val="0"/>
                <w:sz w:val="17"/>
              </w:rPr>
              <w:t>0</w:t>
            </w:r>
          </w:p>
        </w:tc>
      </w:tr>
      <w:tr>
        <w:tc>
          <w:tcPr>
            <w:tcW w:type="dxa" w:w="3312"/>
            <w:vAlign w:val="center"/>
          </w:tcPr>
          <w:p>
            <w:pPr>
              <w:spacing w:after="0"/>
            </w:pPr>
            <w:r/>
            <w:r>
              <w:rPr>
                <w:rFonts w:ascii="Arial" w:hAnsi="Arial"/>
                <w:b w:val="0"/>
                <w:sz w:val="17"/>
              </w:rPr>
              <w:t>Unique customers</w:t>
            </w:r>
          </w:p>
        </w:tc>
        <w:tc>
          <w:tcPr>
            <w:tcW w:type="dxa" w:w="3312"/>
            <w:vAlign w:val="center"/>
          </w:tcPr>
          <w:p>
            <w:pPr>
              <w:spacing w:after="0"/>
            </w:pPr>
            <w:r/>
            <w:r>
              <w:rPr>
                <w:rFonts w:ascii="Arial" w:hAnsi="Arial"/>
                <w:b w:val="0"/>
                <w:sz w:val="17"/>
              </w:rPr>
              <w:t>17,415</w:t>
            </w:r>
          </w:p>
        </w:tc>
        <w:tc>
          <w:tcPr>
            <w:tcW w:type="dxa" w:w="3312"/>
            <w:vAlign w:val="center"/>
          </w:tcPr>
          <w:p>
            <w:pPr>
              <w:spacing w:after="0"/>
            </w:pPr>
            <w:r/>
            <w:r>
              <w:rPr>
                <w:rFonts w:ascii="Arial" w:hAnsi="Arial"/>
                <w:b w:val="0"/>
                <w:sz w:val="17"/>
              </w:rPr>
              <w:t>17,415 customer IDs</w:t>
            </w:r>
          </w:p>
        </w:tc>
      </w:tr>
      <w:tr>
        <w:tc>
          <w:tcPr>
            <w:tcW w:type="dxa" w:w="3312"/>
            <w:vAlign w:val="center"/>
          </w:tcPr>
          <w:p>
            <w:pPr>
              <w:spacing w:after="0"/>
            </w:pPr>
            <w:r/>
            <w:r>
              <w:rPr>
                <w:rFonts w:ascii="Arial" w:hAnsi="Arial"/>
                <w:b w:val="0"/>
                <w:sz w:val="17"/>
              </w:rPr>
              <w:t>Unique orders</w:t>
            </w:r>
          </w:p>
        </w:tc>
        <w:tc>
          <w:tcPr>
            <w:tcW w:type="dxa" w:w="3312"/>
            <w:vAlign w:val="center"/>
          </w:tcPr>
          <w:p>
            <w:pPr>
              <w:spacing w:after="0"/>
            </w:pPr>
            <w:r/>
            <w:r>
              <w:rPr>
                <w:rFonts w:ascii="Arial" w:hAnsi="Arial"/>
                <w:b w:val="0"/>
                <w:sz w:val="17"/>
              </w:rPr>
              <w:t>25,728</w:t>
            </w:r>
          </w:p>
        </w:tc>
        <w:tc>
          <w:tcPr>
            <w:tcW w:type="dxa" w:w="3312"/>
            <w:vAlign w:val="center"/>
          </w:tcPr>
          <w:p>
            <w:pPr>
              <w:spacing w:after="0"/>
            </w:pPr>
            <w:r/>
            <w:r>
              <w:rPr>
                <w:rFonts w:ascii="Arial" w:hAnsi="Arial"/>
                <w:b w:val="0"/>
                <w:sz w:val="17"/>
              </w:rPr>
              <w:t>Not applicable as a customer-level grain</w:t>
            </w:r>
          </w:p>
        </w:tc>
      </w:tr>
      <w:tr>
        <w:tc>
          <w:tcPr>
            <w:tcW w:type="dxa" w:w="3312"/>
            <w:vAlign w:val="center"/>
          </w:tcPr>
          <w:p>
            <w:pPr>
              <w:spacing w:after="0"/>
            </w:pPr>
            <w:r/>
            <w:r>
              <w:rPr>
                <w:rFonts w:ascii="Arial" w:hAnsi="Arial"/>
                <w:b w:val="0"/>
                <w:sz w:val="17"/>
              </w:rPr>
              <w:t>Date validation</w:t>
            </w:r>
          </w:p>
        </w:tc>
        <w:tc>
          <w:tcPr>
            <w:tcW w:type="dxa" w:w="3312"/>
            <w:vAlign w:val="center"/>
          </w:tcPr>
          <w:p>
            <w:pPr>
              <w:spacing w:after="0"/>
            </w:pPr>
            <w:r/>
            <w:r>
              <w:rPr>
                <w:rFonts w:ascii="Arial" w:hAnsi="Arial"/>
                <w:b w:val="0"/>
                <w:sz w:val="17"/>
              </w:rPr>
              <w:t>Order Date parsed to datetime; no invalid dates reported</w:t>
            </w:r>
          </w:p>
        </w:tc>
        <w:tc>
          <w:tcPr>
            <w:tcW w:type="dxa" w:w="3312"/>
            <w:vAlign w:val="center"/>
          </w:tcPr>
          <w:p>
            <w:pPr>
              <w:spacing w:after="0"/>
            </w:pPr>
            <w:r/>
            <w:r>
              <w:rPr>
                <w:rFonts w:ascii="Arial" w:hAnsi="Arial"/>
                <w:b w:val="0"/>
                <w:sz w:val="17"/>
              </w:rPr>
              <w:t>Recency feature available</w:t>
            </w:r>
          </w:p>
        </w:tc>
      </w:tr>
    </w:tbl>
    <w:p/>
    <w:p>
      <w:r>
        <w:t>No imputation was required for the observed missing-value check. The Order Date field was converted to datetime to enable monthly and yearly grouping. Negative profit observations were retained because they can represent genuine loss-making transactions; deleting them would bias profitability analysis. The maximum observed discount was 0.85, and maximum quantity was 20, so unusually large values were flagged for review rather than automatically removed. A zero missing-value count does not by itself prove that all values are semantically correct.</w:t>
      </w:r>
    </w:p>
    <w:p>
      <w:pPr>
        <w:pStyle w:val="Heading1"/>
      </w:pPr>
      <w:r>
        <w:t>4. Methodology</w:t>
      </w:r>
    </w:p>
    <w:p>
      <w:pPr>
        <w:pStyle w:val="ListNumber"/>
      </w:pPr>
      <w:r>
        <w:t>Data profiling: row/column counts, unique customer/order counts, missingness, duplicate rows, date coverage and data types.</w:t>
      </w:r>
    </w:p>
    <w:p>
      <w:pPr>
        <w:pStyle w:val="ListNumber"/>
      </w:pPr>
      <w:r>
        <w:t>Descriptive statistics: count, mean, standard deviation, minimum, quartiles, median and maximum; additional skewness, kurtosis, variance and mode checks.</w:t>
      </w:r>
    </w:p>
    <w:p>
      <w:pPr>
        <w:pStyle w:val="ListNumber"/>
      </w:pPr>
      <w:r>
        <w:t>Outlier screening: the 1.5 × IQR rule was used to flag potential outliers. Flags are diagnostic and do not automatically imply errors.</w:t>
      </w:r>
    </w:p>
    <w:p>
      <w:pPr>
        <w:pStyle w:val="ListNumber"/>
      </w:pPr>
      <w:r>
        <w:t>Time analysis: annual and monthly aggregations of sales, profit and unique orders; year-over-year percentage change was calculated for annual comparisons.</w:t>
      </w:r>
    </w:p>
    <w:p>
      <w:pPr>
        <w:pStyle w:val="ListNumber"/>
      </w:pPr>
      <w:r>
        <w:t>Profitability: category and market sales, profit, average discount, transaction/order/customer counts and profit margin. Margin was calculated as total profit divided by total sales, multiplied by 100.</w:t>
      </w:r>
    </w:p>
    <w:p>
      <w:pPr>
        <w:pStyle w:val="ListNumber"/>
      </w:pPr>
      <w:r>
        <w:t>Customer comparison: Mann–Whitney U tests compared active and inactive customer distributions for six metrics because the metrics were skewed and median summaries were informative.</w:t>
      </w:r>
    </w:p>
    <w:p>
      <w:pPr>
        <w:pStyle w:val="ListNumber"/>
      </w:pPr>
      <w:r>
        <w:t>Feature engineering: recency/frequency/spending groups, order month/quarter/year, profit margin percentage and sales per unit.</w:t>
      </w:r>
    </w:p>
    <w:p>
      <w:pPr>
        <w:pStyle w:val="ListNumber"/>
      </w:pPr>
      <w:r>
        <w:t>Correlation: Pearson correlation coefficients were inspected for numeric transaction features. Correlation is associative and does not establish causality.</w:t>
      </w:r>
    </w:p>
    <w:p>
      <w:pPr>
        <w:pStyle w:val="Heading1"/>
      </w:pPr>
      <w:r>
        <w:t>5. Exploratory Data Analysis</w:t>
      </w:r>
    </w:p>
    <w:p>
      <w:pPr>
        <w:pStyle w:val="Heading2"/>
      </w:pPr>
      <w:r>
        <w:t>5.1 Numerical distributions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
              <w:rPr>
                <w:rFonts w:ascii="Arial" w:hAnsi="Arial"/>
                <w:b/>
                <w:sz w:val="17"/>
              </w:rPr>
              <w:t>Metric</w:t>
            </w:r>
          </w:p>
        </w:tc>
        <w:tc>
          <w:tcPr>
            <w:tcW w:type="dxa" w:w="1419"/>
            <w:vAlign w:val="center"/>
            <w:shd w:fill="D9EAF7"/>
          </w:tcPr>
          <w:p>
            <w:pPr>
              <w:spacing w:after="0"/>
            </w:pPr>
            <w:r/>
            <w:r>
              <w:rPr>
                <w:rFonts w:ascii="Arial" w:hAnsi="Arial"/>
                <w:b/>
                <w:sz w:val="17"/>
              </w:rPr>
              <w:t>Mean</w:t>
            </w:r>
          </w:p>
        </w:tc>
        <w:tc>
          <w:tcPr>
            <w:tcW w:type="dxa" w:w="1419"/>
            <w:vAlign w:val="center"/>
            <w:shd w:fill="D9EAF7"/>
          </w:tcPr>
          <w:p>
            <w:pPr>
              <w:spacing w:after="0"/>
            </w:pPr>
            <w:r/>
            <w:r>
              <w:rPr>
                <w:rFonts w:ascii="Arial" w:hAnsi="Arial"/>
                <w:b/>
                <w:sz w:val="17"/>
              </w:rPr>
              <w:t>Median</w:t>
            </w:r>
          </w:p>
        </w:tc>
        <w:tc>
          <w:tcPr>
            <w:tcW w:type="dxa" w:w="1419"/>
            <w:vAlign w:val="center"/>
            <w:shd w:fill="D9EAF7"/>
          </w:tcPr>
          <w:p>
            <w:pPr>
              <w:spacing w:after="0"/>
            </w:pPr>
            <w:r/>
            <w:r>
              <w:rPr>
                <w:rFonts w:ascii="Arial" w:hAnsi="Arial"/>
                <w:b/>
                <w:sz w:val="17"/>
              </w:rPr>
              <w:t>Std. dev.</w:t>
            </w:r>
          </w:p>
        </w:tc>
        <w:tc>
          <w:tcPr>
            <w:tcW w:type="dxa" w:w="1419"/>
            <w:vAlign w:val="center"/>
            <w:shd w:fill="D9EAF7"/>
          </w:tcPr>
          <w:p>
            <w:pPr>
              <w:spacing w:after="0"/>
            </w:pPr>
            <w:r/>
            <w:r>
              <w:rPr>
                <w:rFonts w:ascii="Arial" w:hAnsi="Arial"/>
                <w:b/>
                <w:sz w:val="17"/>
              </w:rPr>
              <w:t>Skewness</w:t>
            </w:r>
          </w:p>
        </w:tc>
        <w:tc>
          <w:tcPr>
            <w:tcW w:type="dxa" w:w="1419"/>
            <w:vAlign w:val="center"/>
            <w:shd w:fill="D9EAF7"/>
          </w:tcPr>
          <w:p>
            <w:pPr>
              <w:spacing w:after="0"/>
            </w:pPr>
            <w:r/>
            <w:r>
              <w:rPr>
                <w:rFonts w:ascii="Arial" w:hAnsi="Arial"/>
                <w:b/>
                <w:sz w:val="17"/>
              </w:rPr>
              <w:t>Kurtosis</w:t>
            </w:r>
          </w:p>
        </w:tc>
        <w:tc>
          <w:tcPr>
            <w:tcW w:type="dxa" w:w="1419"/>
            <w:vAlign w:val="center"/>
            <w:shd w:fill="D9EAF7"/>
          </w:tcPr>
          <w:p>
            <w:pPr>
              <w:spacing w:after="0"/>
            </w:pPr>
            <w:r/>
            <w:r>
              <w:rPr>
                <w:rFonts w:ascii="Arial" w:hAnsi="Arial"/>
                <w:b/>
                <w:sz w:val="17"/>
              </w:rPr>
              <w:t>IQR</w:t>
            </w:r>
          </w:p>
        </w:tc>
      </w:tr>
      <w:tr>
        <w:tc>
          <w:tcPr>
            <w:tcW w:type="dxa" w:w="1419"/>
            <w:vAlign w:val="center"/>
          </w:tcPr>
          <w:p>
            <w:pPr>
              <w:spacing w:after="0"/>
            </w:pPr>
            <w:r/>
            <w:r>
              <w:rPr>
                <w:rFonts w:ascii="Arial" w:hAnsi="Arial"/>
                <w:b w:val="0"/>
                <w:sz w:val="17"/>
              </w:rPr>
              <w:t>Quantity</w:t>
            </w:r>
          </w:p>
        </w:tc>
        <w:tc>
          <w:tcPr>
            <w:tcW w:type="dxa" w:w="1419"/>
            <w:vAlign w:val="center"/>
          </w:tcPr>
          <w:p>
            <w:pPr>
              <w:spacing w:after="0"/>
            </w:pPr>
            <w:r/>
            <w:r>
              <w:rPr>
                <w:rFonts w:ascii="Arial" w:hAnsi="Arial"/>
                <w:b w:val="0"/>
                <w:sz w:val="17"/>
              </w:rPr>
              <w:t>5.416</w:t>
            </w:r>
          </w:p>
        </w:tc>
        <w:tc>
          <w:tcPr>
            <w:tcW w:type="dxa" w:w="1419"/>
            <w:vAlign w:val="center"/>
          </w:tcPr>
          <w:p>
            <w:pPr>
              <w:spacing w:after="0"/>
            </w:pPr>
            <w:r/>
            <w:r>
              <w:rPr>
                <w:rFonts w:ascii="Arial" w:hAnsi="Arial"/>
                <w:b w:val="0"/>
                <w:sz w:val="17"/>
              </w:rPr>
              <w:t>4.000</w:t>
            </w:r>
          </w:p>
        </w:tc>
        <w:tc>
          <w:tcPr>
            <w:tcW w:type="dxa" w:w="1419"/>
            <w:vAlign w:val="center"/>
          </w:tcPr>
          <w:p>
            <w:pPr>
              <w:spacing w:after="0"/>
            </w:pPr>
            <w:r/>
            <w:r>
              <w:rPr>
                <w:rFonts w:ascii="Arial" w:hAnsi="Arial"/>
                <w:b w:val="0"/>
                <w:sz w:val="17"/>
              </w:rPr>
              <w:t>4.908</w:t>
            </w:r>
          </w:p>
        </w:tc>
        <w:tc>
          <w:tcPr>
            <w:tcW w:type="dxa" w:w="1419"/>
            <w:vAlign w:val="center"/>
          </w:tcPr>
          <w:p>
            <w:pPr>
              <w:spacing w:after="0"/>
            </w:pPr>
            <w:r/>
            <w:r>
              <w:rPr>
                <w:rFonts w:ascii="Arial" w:hAnsi="Arial"/>
                <w:b w:val="0"/>
                <w:sz w:val="17"/>
              </w:rPr>
              <w:t>1.469</w:t>
            </w:r>
          </w:p>
        </w:tc>
        <w:tc>
          <w:tcPr>
            <w:tcW w:type="dxa" w:w="1419"/>
            <w:vAlign w:val="center"/>
          </w:tcPr>
          <w:p>
            <w:pPr>
              <w:spacing w:after="0"/>
            </w:pPr>
            <w:r/>
            <w:r>
              <w:rPr>
                <w:rFonts w:ascii="Arial" w:hAnsi="Arial"/>
                <w:b w:val="0"/>
                <w:sz w:val="17"/>
              </w:rPr>
              <w:t>1.196</w:t>
            </w:r>
          </w:p>
        </w:tc>
        <w:tc>
          <w:tcPr>
            <w:tcW w:type="dxa" w:w="1419"/>
            <w:vAlign w:val="center"/>
          </w:tcPr>
          <w:p>
            <w:pPr>
              <w:spacing w:after="0"/>
            </w:pPr>
            <w:r/>
            <w:r>
              <w:rPr>
                <w:rFonts w:ascii="Arial" w:hAnsi="Arial"/>
                <w:b w:val="0"/>
                <w:sz w:val="17"/>
              </w:rPr>
              <w:t>5</w:t>
            </w:r>
          </w:p>
        </w:tc>
      </w:tr>
      <w:tr>
        <w:tc>
          <w:tcPr>
            <w:tcW w:type="dxa" w:w="1419"/>
            <w:vAlign w:val="center"/>
          </w:tcPr>
          <w:p>
            <w:pPr>
              <w:spacing w:after="0"/>
            </w:pPr>
            <w:r/>
            <w:r>
              <w:rPr>
                <w:rFonts w:ascii="Arial" w:hAnsi="Arial"/>
                <w:b w:val="0"/>
                <w:sz w:val="17"/>
              </w:rPr>
              <w:t>Sales</w:t>
            </w:r>
          </w:p>
        </w:tc>
        <w:tc>
          <w:tcPr>
            <w:tcW w:type="dxa" w:w="1419"/>
            <w:vAlign w:val="center"/>
          </w:tcPr>
          <w:p>
            <w:pPr>
              <w:spacing w:after="0"/>
            </w:pPr>
            <w:r/>
            <w:r>
              <w:rPr>
                <w:rFonts w:ascii="Arial" w:hAnsi="Arial"/>
                <w:b w:val="0"/>
                <w:sz w:val="17"/>
              </w:rPr>
              <w:t>127.075</w:t>
            </w:r>
          </w:p>
        </w:tc>
        <w:tc>
          <w:tcPr>
            <w:tcW w:type="dxa" w:w="1419"/>
            <w:vAlign w:val="center"/>
          </w:tcPr>
          <w:p>
            <w:pPr>
              <w:spacing w:after="0"/>
            </w:pPr>
            <w:r/>
            <w:r>
              <w:rPr>
                <w:rFonts w:ascii="Arial" w:hAnsi="Arial"/>
                <w:b w:val="0"/>
                <w:sz w:val="17"/>
              </w:rPr>
              <w:t>56.000</w:t>
            </w:r>
          </w:p>
        </w:tc>
        <w:tc>
          <w:tcPr>
            <w:tcW w:type="dxa" w:w="1419"/>
            <w:vAlign w:val="center"/>
          </w:tcPr>
          <w:p>
            <w:pPr>
              <w:spacing w:after="0"/>
            </w:pPr>
            <w:r/>
            <w:r>
              <w:rPr>
                <w:rFonts w:ascii="Arial" w:hAnsi="Arial"/>
                <w:b w:val="0"/>
                <w:sz w:val="17"/>
              </w:rPr>
              <w:t>236.075</w:t>
            </w:r>
          </w:p>
        </w:tc>
        <w:tc>
          <w:tcPr>
            <w:tcW w:type="dxa" w:w="1419"/>
            <w:vAlign w:val="center"/>
          </w:tcPr>
          <w:p>
            <w:pPr>
              <w:spacing w:after="0"/>
            </w:pPr>
            <w:r/>
            <w:r>
              <w:rPr>
                <w:rFonts w:ascii="Arial" w:hAnsi="Arial"/>
                <w:b w:val="0"/>
                <w:sz w:val="17"/>
              </w:rPr>
              <w:t>6.402</w:t>
            </w:r>
          </w:p>
        </w:tc>
        <w:tc>
          <w:tcPr>
            <w:tcW w:type="dxa" w:w="1419"/>
            <w:vAlign w:val="center"/>
          </w:tcPr>
          <w:p>
            <w:pPr>
              <w:spacing w:after="0"/>
            </w:pPr>
            <w:r/>
            <w:r>
              <w:rPr>
                <w:rFonts w:ascii="Arial" w:hAnsi="Arial"/>
                <w:b w:val="0"/>
                <w:sz w:val="17"/>
              </w:rPr>
              <w:t>60.608</w:t>
            </w:r>
          </w:p>
        </w:tc>
        <w:tc>
          <w:tcPr>
            <w:tcW w:type="dxa" w:w="1419"/>
            <w:vAlign w:val="center"/>
          </w:tcPr>
          <w:p>
            <w:pPr>
              <w:spacing w:after="0"/>
            </w:pPr>
            <w:r/>
            <w:r>
              <w:rPr>
                <w:rFonts w:ascii="Arial" w:hAnsi="Arial"/>
                <w:b w:val="0"/>
                <w:sz w:val="17"/>
              </w:rPr>
              <w:t>107</w:t>
            </w:r>
          </w:p>
        </w:tc>
      </w:tr>
      <w:tr>
        <w:tc>
          <w:tcPr>
            <w:tcW w:type="dxa" w:w="1419"/>
            <w:vAlign w:val="center"/>
          </w:tcPr>
          <w:p>
            <w:pPr>
              <w:spacing w:after="0"/>
            </w:pPr>
            <w:r/>
            <w:r>
              <w:rPr>
                <w:rFonts w:ascii="Arial" w:hAnsi="Arial"/>
                <w:b w:val="0"/>
                <w:sz w:val="17"/>
              </w:rPr>
              <w:t>Discount</w:t>
            </w:r>
          </w:p>
        </w:tc>
        <w:tc>
          <w:tcPr>
            <w:tcW w:type="dxa" w:w="1419"/>
            <w:vAlign w:val="center"/>
          </w:tcPr>
          <w:p>
            <w:pPr>
              <w:spacing w:after="0"/>
            </w:pPr>
            <w:r/>
            <w:r>
              <w:rPr>
                <w:rFonts w:ascii="Arial" w:hAnsi="Arial"/>
                <w:b w:val="0"/>
                <w:sz w:val="17"/>
              </w:rPr>
              <w:t>0.143</w:t>
            </w:r>
          </w:p>
        </w:tc>
        <w:tc>
          <w:tcPr>
            <w:tcW w:type="dxa" w:w="1419"/>
            <w:vAlign w:val="center"/>
          </w:tcPr>
          <w:p>
            <w:pPr>
              <w:spacing w:after="0"/>
            </w:pPr>
            <w:r/>
            <w:r>
              <w:rPr>
                <w:rFonts w:ascii="Arial" w:hAnsi="Arial"/>
                <w:b w:val="0"/>
                <w:sz w:val="17"/>
              </w:rPr>
              <w:t>0.000</w:t>
            </w:r>
          </w:p>
        </w:tc>
        <w:tc>
          <w:tcPr>
            <w:tcW w:type="dxa" w:w="1419"/>
            <w:vAlign w:val="center"/>
          </w:tcPr>
          <w:p>
            <w:pPr>
              <w:spacing w:after="0"/>
            </w:pPr>
            <w:r/>
            <w:r>
              <w:rPr>
                <w:rFonts w:ascii="Arial" w:hAnsi="Arial"/>
                <w:b w:val="0"/>
                <w:sz w:val="17"/>
              </w:rPr>
              <w:t>0.212</w:t>
            </w:r>
          </w:p>
        </w:tc>
        <w:tc>
          <w:tcPr>
            <w:tcW w:type="dxa" w:w="1419"/>
            <w:vAlign w:val="center"/>
          </w:tcPr>
          <w:p>
            <w:pPr>
              <w:spacing w:after="0"/>
            </w:pPr>
            <w:r/>
            <w:r>
              <w:rPr>
                <w:rFonts w:ascii="Arial" w:hAnsi="Arial"/>
                <w:b w:val="0"/>
                <w:sz w:val="17"/>
              </w:rPr>
              <w:t>1.388</w:t>
            </w:r>
          </w:p>
        </w:tc>
        <w:tc>
          <w:tcPr>
            <w:tcW w:type="dxa" w:w="1419"/>
            <w:vAlign w:val="center"/>
          </w:tcPr>
          <w:p>
            <w:pPr>
              <w:spacing w:after="0"/>
            </w:pPr>
            <w:r/>
            <w:r>
              <w:rPr>
                <w:rFonts w:ascii="Arial" w:hAnsi="Arial"/>
                <w:b w:val="0"/>
                <w:sz w:val="17"/>
              </w:rPr>
              <w:t>0.717</w:t>
            </w:r>
          </w:p>
        </w:tc>
        <w:tc>
          <w:tcPr>
            <w:tcW w:type="dxa" w:w="1419"/>
            <w:vAlign w:val="center"/>
          </w:tcPr>
          <w:p>
            <w:pPr>
              <w:spacing w:after="0"/>
            </w:pPr>
            <w:r/>
            <w:r>
              <w:rPr>
                <w:rFonts w:ascii="Arial" w:hAnsi="Arial"/>
                <w:b w:val="0"/>
                <w:sz w:val="17"/>
              </w:rPr>
              <w:t>0.2</w:t>
            </w:r>
          </w:p>
        </w:tc>
      </w:tr>
      <w:tr>
        <w:tc>
          <w:tcPr>
            <w:tcW w:type="dxa" w:w="1419"/>
            <w:vAlign w:val="center"/>
          </w:tcPr>
          <w:p>
            <w:pPr>
              <w:spacing w:after="0"/>
            </w:pPr>
            <w:r/>
            <w:r>
              <w:rPr>
                <w:rFonts w:ascii="Arial" w:hAnsi="Arial"/>
                <w:b w:val="0"/>
                <w:sz w:val="17"/>
              </w:rPr>
              <w:t>Profit</w:t>
            </w:r>
          </w:p>
        </w:tc>
        <w:tc>
          <w:tcPr>
            <w:tcW w:type="dxa" w:w="1419"/>
            <w:vAlign w:val="center"/>
          </w:tcPr>
          <w:p>
            <w:pPr>
              <w:spacing w:after="0"/>
            </w:pPr>
            <w:r/>
            <w:r>
              <w:rPr>
                <w:rFonts w:ascii="Arial" w:hAnsi="Arial"/>
                <w:b w:val="0"/>
                <w:sz w:val="17"/>
              </w:rPr>
              <w:t>20.772</w:t>
            </w:r>
          </w:p>
        </w:tc>
        <w:tc>
          <w:tcPr>
            <w:tcW w:type="dxa" w:w="1419"/>
            <w:vAlign w:val="center"/>
          </w:tcPr>
          <w:p>
            <w:pPr>
              <w:spacing w:after="0"/>
            </w:pPr>
            <w:r/>
            <w:r>
              <w:rPr>
                <w:rFonts w:ascii="Arial" w:hAnsi="Arial"/>
                <w:b w:val="0"/>
                <w:sz w:val="17"/>
              </w:rPr>
              <w:t>7.200</w:t>
            </w:r>
          </w:p>
        </w:tc>
        <w:tc>
          <w:tcPr>
            <w:tcW w:type="dxa" w:w="1419"/>
            <w:vAlign w:val="center"/>
          </w:tcPr>
          <w:p>
            <w:pPr>
              <w:spacing w:after="0"/>
            </w:pPr>
            <w:r/>
            <w:r>
              <w:rPr>
                <w:rFonts w:ascii="Arial" w:hAnsi="Arial"/>
                <w:b w:val="0"/>
                <w:sz w:val="17"/>
              </w:rPr>
              <w:t>83.583</w:t>
            </w:r>
          </w:p>
        </w:tc>
        <w:tc>
          <w:tcPr>
            <w:tcW w:type="dxa" w:w="1419"/>
            <w:vAlign w:val="center"/>
          </w:tcPr>
          <w:p>
            <w:pPr>
              <w:spacing w:after="0"/>
            </w:pPr>
            <w:r/>
            <w:r>
              <w:rPr>
                <w:rFonts w:ascii="Arial" w:hAnsi="Arial"/>
                <w:b w:val="0"/>
                <w:sz w:val="17"/>
              </w:rPr>
              <w:t>3.955</w:t>
            </w:r>
          </w:p>
        </w:tc>
        <w:tc>
          <w:tcPr>
            <w:tcW w:type="dxa" w:w="1419"/>
            <w:vAlign w:val="center"/>
          </w:tcPr>
          <w:p>
            <w:pPr>
              <w:spacing w:after="0"/>
            </w:pPr>
            <w:r/>
            <w:r>
              <w:rPr>
                <w:rFonts w:ascii="Arial" w:hAnsi="Arial"/>
                <w:b w:val="0"/>
                <w:sz w:val="17"/>
              </w:rPr>
              <w:t>99.842</w:t>
            </w:r>
          </w:p>
        </w:tc>
        <w:tc>
          <w:tcPr>
            <w:tcW w:type="dxa" w:w="1419"/>
            <w:vAlign w:val="center"/>
          </w:tcPr>
          <w:p>
            <w:pPr>
              <w:spacing w:after="0"/>
            </w:pPr>
            <w:r/>
            <w:r>
              <w:rPr>
                <w:rFonts w:ascii="Arial" w:hAnsi="Arial"/>
                <w:b w:val="0"/>
                <w:sz w:val="17"/>
              </w:rPr>
              <w:t>25</w:t>
            </w:r>
          </w:p>
        </w:tc>
      </w:tr>
    </w:tbl>
    <w:p/>
    <w:p>
      <w:r>
        <w:t>Sales is strongly right-skewed: the mean (127.075) is well above the median (56), and skewness is 6.402. This suggests that a relatively small number of high-value lines influence the average. Profit is also strongly right-skewed and heavy-tailed, with a minimum of −1,746 and maximum of 1,820; the median profit is only 7.2. The discount median is zero, indicating that at least half of line-level observations have no discount. Quantity has a mean of 5.416 and median of 4, with a maximum of 20.</w:t>
      </w:r>
    </w:p>
    <w:p>
      <w:r>
        <w:t>The IQR rule flagged 4,604 Quantity rows (8.98%), 5,126 Sales rows (9.99%), 4,172 Discount rows (8.13%) and 7,740 Profit rows (15.09%). These counts should be interpreted as potential outliers, not confirmed data errors. The appropriate next step is to inspect records by product, order, discount and cost context before deciding whether to correct, cap or retain them.</w:t>
      </w:r>
    </w:p>
    <w:p>
      <w:r>
        <w:drawing>
          <wp:inline xmlns:a="http://schemas.openxmlformats.org/drawingml/2006/main" xmlns:pic="http://schemas.openxmlformats.org/drawingml/2006/picture">
            <wp:extent cx="5577840" cy="3093130"/>
            <wp:docPr id="1" name="Picture 1"/>
            <wp:cNvGraphicFramePr>
              <a:graphicFrameLocks noChangeAspect="1"/>
            </wp:cNvGraphicFramePr>
            <a:graphic>
              <a:graphicData uri="http://schemas.openxmlformats.org/drawingml/2006/picture">
                <pic:pic>
                  <pic:nvPicPr>
                    <pic:cNvPr id="0" name="report_annual_sales.png"/>
                    <pic:cNvPicPr/>
                  </pic:nvPicPr>
                  <pic:blipFill>
                    <a:blip r:embed="rId9"/>
                    <a:stretch>
                      <a:fillRect/>
                    </a:stretch>
                  </pic:blipFill>
                  <pic:spPr>
                    <a:xfrm>
                      <a:off x="0" y="0"/>
                      <a:ext cx="5577840" cy="3093130"/>
                    </a:xfrm>
                    <a:prstGeom prst="rect"/>
                  </pic:spPr>
                </pic:pic>
              </a:graphicData>
            </a:graphic>
          </wp:inline>
        </w:drawing>
      </w:r>
    </w:p>
    <w:p>
      <w:pPr>
        <w:jc w:val="center"/>
      </w:pPr>
      <w:r>
        <w:rPr>
          <w:i/>
          <w:sz w:val="17"/>
        </w:rPr>
        <w:t>Figure 1. Annual sales using the verified annual totals.</w:t>
      </w:r>
    </w:p>
    <w:p>
      <w:r>
        <w:drawing>
          <wp:inline xmlns:a="http://schemas.openxmlformats.org/drawingml/2006/main" xmlns:pic="http://schemas.openxmlformats.org/drawingml/2006/picture">
            <wp:extent cx="5577840" cy="3093130"/>
            <wp:docPr id="2" name="Picture 2"/>
            <wp:cNvGraphicFramePr>
              <a:graphicFrameLocks noChangeAspect="1"/>
            </wp:cNvGraphicFramePr>
            <a:graphic>
              <a:graphicData uri="http://schemas.openxmlformats.org/drawingml/2006/picture">
                <pic:pic>
                  <pic:nvPicPr>
                    <pic:cNvPr id="0" name="report_annual_profit.png"/>
                    <pic:cNvPicPr/>
                  </pic:nvPicPr>
                  <pic:blipFill>
                    <a:blip r:embed="rId10"/>
                    <a:stretch>
                      <a:fillRect/>
                    </a:stretch>
                  </pic:blipFill>
                  <pic:spPr>
                    <a:xfrm>
                      <a:off x="0" y="0"/>
                      <a:ext cx="5577840" cy="3093130"/>
                    </a:xfrm>
                    <a:prstGeom prst="rect"/>
                  </pic:spPr>
                </pic:pic>
              </a:graphicData>
            </a:graphic>
          </wp:inline>
        </w:drawing>
      </w:r>
    </w:p>
    <w:p>
      <w:pPr>
        <w:jc w:val="center"/>
      </w:pPr>
      <w:r>
        <w:rPr>
          <w:i/>
          <w:sz w:val="17"/>
        </w:rPr>
        <w:t>Figure 2. Annual profit using the verified annual totals.</w:t>
      </w:r>
    </w:p>
    <w:p>
      <w:r>
        <w:t>The notebook's original distribution files are also part of the analysis: week4_numerical_distributions.png and week4_numerical_boxplots.png. Their intended interpretation is to show the skewness and extreme values described above. They are listed in the deliverables section for inclusion alongside the report if required by the evaluator.</w:t>
      </w:r>
    </w:p>
    <w:p>
      <w:pPr>
        <w:pStyle w:val="Heading2"/>
      </w:pPr>
      <w:r>
        <w:t>5.2 Annual performance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
              <w:rPr>
                <w:rFonts w:ascii="Arial" w:hAnsi="Arial"/>
                <w:b/>
                <w:sz w:val="17"/>
              </w:rPr>
              <w:t>Year</w:t>
            </w:r>
          </w:p>
        </w:tc>
        <w:tc>
          <w:tcPr>
            <w:tcW w:type="dxa" w:w="1419"/>
            <w:vAlign w:val="center"/>
            <w:shd w:fill="D9EAF7"/>
          </w:tcPr>
          <w:p>
            <w:pPr>
              <w:spacing w:after="0"/>
            </w:pPr>
            <w:r/>
            <w:r>
              <w:rPr>
                <w:rFonts w:ascii="Arial" w:hAnsi="Arial"/>
                <w:b/>
                <w:sz w:val="17"/>
              </w:rPr>
              <w:t>Total sales</w:t>
            </w:r>
          </w:p>
        </w:tc>
        <w:tc>
          <w:tcPr>
            <w:tcW w:type="dxa" w:w="1419"/>
            <w:vAlign w:val="center"/>
            <w:shd w:fill="D9EAF7"/>
          </w:tcPr>
          <w:p>
            <w:pPr>
              <w:spacing w:after="0"/>
            </w:pPr>
            <w:r/>
            <w:r>
              <w:rPr>
                <w:rFonts w:ascii="Arial" w:hAnsi="Arial"/>
                <w:b/>
                <w:sz w:val="17"/>
              </w:rPr>
              <w:t>Total profit</w:t>
            </w:r>
          </w:p>
        </w:tc>
        <w:tc>
          <w:tcPr>
            <w:tcW w:type="dxa" w:w="1419"/>
            <w:vAlign w:val="center"/>
            <w:shd w:fill="D9EAF7"/>
          </w:tcPr>
          <w:p>
            <w:pPr>
              <w:spacing w:after="0"/>
            </w:pPr>
            <w:r/>
            <w:r>
              <w:rPr>
                <w:rFonts w:ascii="Arial" w:hAnsi="Arial"/>
                <w:b/>
                <w:sz w:val="17"/>
              </w:rPr>
              <w:t>Unique orders</w:t>
            </w:r>
          </w:p>
        </w:tc>
        <w:tc>
          <w:tcPr>
            <w:tcW w:type="dxa" w:w="1419"/>
            <w:vAlign w:val="center"/>
            <w:shd w:fill="D9EAF7"/>
          </w:tcPr>
          <w:p>
            <w:pPr>
              <w:spacing w:after="0"/>
            </w:pPr>
            <w:r/>
            <w:r>
              <w:rPr>
                <w:rFonts w:ascii="Arial" w:hAnsi="Arial"/>
                <w:b/>
                <w:sz w:val="17"/>
              </w:rPr>
              <w:t>Sales growth</w:t>
            </w:r>
          </w:p>
        </w:tc>
        <w:tc>
          <w:tcPr>
            <w:tcW w:type="dxa" w:w="1419"/>
            <w:vAlign w:val="center"/>
            <w:shd w:fill="D9EAF7"/>
          </w:tcPr>
          <w:p>
            <w:pPr>
              <w:spacing w:after="0"/>
            </w:pPr>
            <w:r/>
            <w:r>
              <w:rPr>
                <w:rFonts w:ascii="Arial" w:hAnsi="Arial"/>
                <w:b/>
                <w:sz w:val="17"/>
              </w:rPr>
              <w:t>Profit growth</w:t>
            </w:r>
          </w:p>
        </w:tc>
        <w:tc>
          <w:tcPr>
            <w:tcW w:type="dxa" w:w="1419"/>
            <w:vAlign w:val="center"/>
            <w:shd w:fill="D9EAF7"/>
          </w:tcPr>
          <w:p>
            <w:pPr>
              <w:spacing w:after="0"/>
            </w:pPr>
            <w:r/>
            <w:r>
              <w:rPr>
                <w:rFonts w:ascii="Arial" w:hAnsi="Arial"/>
                <w:b/>
                <w:sz w:val="17"/>
              </w:rPr>
              <w:t>Order growth</w:t>
            </w:r>
          </w:p>
        </w:tc>
      </w:tr>
      <w:tr>
        <w:tc>
          <w:tcPr>
            <w:tcW w:type="dxa" w:w="1419"/>
            <w:vAlign w:val="center"/>
          </w:tcPr>
          <w:p>
            <w:pPr>
              <w:spacing w:after="0"/>
            </w:pPr>
            <w:r/>
            <w:r>
              <w:rPr>
                <w:rFonts w:ascii="Arial" w:hAnsi="Arial"/>
                <w:b w:val="0"/>
                <w:sz w:val="17"/>
              </w:rPr>
              <w:t>2020</w:t>
            </w:r>
          </w:p>
        </w:tc>
        <w:tc>
          <w:tcPr>
            <w:tcW w:type="dxa" w:w="1419"/>
            <w:vAlign w:val="center"/>
          </w:tcPr>
          <w:p>
            <w:pPr>
              <w:spacing w:after="0"/>
            </w:pPr>
            <w:r/>
            <w:r>
              <w:rPr>
                <w:rFonts w:ascii="Arial" w:hAnsi="Arial"/>
                <w:b w:val="0"/>
                <w:sz w:val="17"/>
              </w:rPr>
              <w:t>1,148,361</w:t>
            </w:r>
          </w:p>
        </w:tc>
        <w:tc>
          <w:tcPr>
            <w:tcW w:type="dxa" w:w="1419"/>
            <w:vAlign w:val="center"/>
          </w:tcPr>
          <w:p>
            <w:pPr>
              <w:spacing w:after="0"/>
            </w:pPr>
            <w:r/>
            <w:r>
              <w:rPr>
                <w:rFonts w:ascii="Arial" w:hAnsi="Arial"/>
                <w:b w:val="0"/>
                <w:sz w:val="17"/>
              </w:rPr>
              <w:t>207,116.12</w:t>
            </w:r>
          </w:p>
        </w:tc>
        <w:tc>
          <w:tcPr>
            <w:tcW w:type="dxa" w:w="1419"/>
            <w:vAlign w:val="center"/>
          </w:tcPr>
          <w:p>
            <w:pPr>
              <w:spacing w:after="0"/>
            </w:pPr>
            <w:r/>
            <w:r>
              <w:rPr>
                <w:rFonts w:ascii="Arial" w:hAnsi="Arial"/>
                <w:b w:val="0"/>
                <w:sz w:val="17"/>
              </w:rPr>
              <w:t>4,515</w:t>
            </w:r>
          </w:p>
        </w:tc>
        <w:tc>
          <w:tcPr>
            <w:tcW w:type="dxa" w:w="1419"/>
            <w:vAlign w:val="center"/>
          </w:tcPr>
          <w:p>
            <w:pPr>
              <w:spacing w:after="0"/>
            </w:pPr>
            <w:r/>
            <w:r>
              <w:rPr>
                <w:rFonts w:ascii="Arial" w:hAnsi="Arial"/>
                <w:b w:val="0"/>
                <w:sz w:val="17"/>
              </w:rPr>
              <w:t>—</w:t>
            </w:r>
          </w:p>
        </w:tc>
        <w:tc>
          <w:tcPr>
            <w:tcW w:type="dxa" w:w="1419"/>
            <w:vAlign w:val="center"/>
          </w:tcPr>
          <w:p>
            <w:pPr>
              <w:spacing w:after="0"/>
            </w:pPr>
            <w:r/>
            <w:r>
              <w:rPr>
                <w:rFonts w:ascii="Arial" w:hAnsi="Arial"/>
                <w:b w:val="0"/>
                <w:sz w:val="17"/>
              </w:rPr>
              <w:t>—</w:t>
            </w:r>
          </w:p>
        </w:tc>
        <w:tc>
          <w:tcPr>
            <w:tcW w:type="dxa" w:w="1419"/>
            <w:vAlign w:val="center"/>
          </w:tcPr>
          <w:p>
            <w:pPr>
              <w:spacing w:after="0"/>
            </w:pPr>
            <w:r/>
            <w:r>
              <w:rPr>
                <w:rFonts w:ascii="Arial" w:hAnsi="Arial"/>
                <w:b w:val="0"/>
                <w:sz w:val="17"/>
              </w:rPr>
              <w:t>—</w:t>
            </w:r>
          </w:p>
        </w:tc>
      </w:tr>
      <w:tr>
        <w:tc>
          <w:tcPr>
            <w:tcW w:type="dxa" w:w="1419"/>
            <w:vAlign w:val="center"/>
          </w:tcPr>
          <w:p>
            <w:pPr>
              <w:spacing w:after="0"/>
            </w:pPr>
            <w:r/>
            <w:r>
              <w:rPr>
                <w:rFonts w:ascii="Arial" w:hAnsi="Arial"/>
                <w:b w:val="0"/>
                <w:sz w:val="17"/>
              </w:rPr>
              <w:t>2021</w:t>
            </w:r>
          </w:p>
        </w:tc>
        <w:tc>
          <w:tcPr>
            <w:tcW w:type="dxa" w:w="1419"/>
            <w:vAlign w:val="center"/>
          </w:tcPr>
          <w:p>
            <w:pPr>
              <w:spacing w:after="0"/>
            </w:pPr>
            <w:r/>
            <w:r>
              <w:rPr>
                <w:rFonts w:ascii="Arial" w:hAnsi="Arial"/>
                <w:b w:val="0"/>
                <w:sz w:val="17"/>
              </w:rPr>
              <w:t>1,405,876</w:t>
            </w:r>
          </w:p>
        </w:tc>
        <w:tc>
          <w:tcPr>
            <w:tcW w:type="dxa" w:w="1419"/>
            <w:vAlign w:val="center"/>
          </w:tcPr>
          <w:p>
            <w:pPr>
              <w:spacing w:after="0"/>
            </w:pPr>
            <w:r/>
            <w:r>
              <w:rPr>
                <w:rFonts w:ascii="Arial" w:hAnsi="Arial"/>
                <w:b w:val="0"/>
                <w:sz w:val="17"/>
              </w:rPr>
              <w:t>259,696.96</w:t>
            </w:r>
          </w:p>
        </w:tc>
        <w:tc>
          <w:tcPr>
            <w:tcW w:type="dxa" w:w="1419"/>
            <w:vAlign w:val="center"/>
          </w:tcPr>
          <w:p>
            <w:pPr>
              <w:spacing w:after="0"/>
            </w:pPr>
            <w:r/>
            <w:r>
              <w:rPr>
                <w:rFonts w:ascii="Arial" w:hAnsi="Arial"/>
                <w:b w:val="0"/>
                <w:sz w:val="17"/>
              </w:rPr>
              <w:t>5,473</w:t>
            </w:r>
          </w:p>
        </w:tc>
        <w:tc>
          <w:tcPr>
            <w:tcW w:type="dxa" w:w="1419"/>
            <w:vAlign w:val="center"/>
          </w:tcPr>
          <w:p>
            <w:pPr>
              <w:spacing w:after="0"/>
            </w:pPr>
            <w:r/>
            <w:r>
              <w:rPr>
                <w:rFonts w:ascii="Arial" w:hAnsi="Arial"/>
                <w:b w:val="0"/>
                <w:sz w:val="17"/>
              </w:rPr>
              <w:t>22.42%</w:t>
            </w:r>
          </w:p>
        </w:tc>
        <w:tc>
          <w:tcPr>
            <w:tcW w:type="dxa" w:w="1419"/>
            <w:vAlign w:val="center"/>
          </w:tcPr>
          <w:p>
            <w:pPr>
              <w:spacing w:after="0"/>
            </w:pPr>
            <w:r/>
            <w:r>
              <w:rPr>
                <w:rFonts w:ascii="Arial" w:hAnsi="Arial"/>
                <w:b w:val="0"/>
                <w:sz w:val="17"/>
              </w:rPr>
              <w:t>25.39%</w:t>
            </w:r>
          </w:p>
        </w:tc>
        <w:tc>
          <w:tcPr>
            <w:tcW w:type="dxa" w:w="1419"/>
            <w:vAlign w:val="center"/>
          </w:tcPr>
          <w:p>
            <w:pPr>
              <w:spacing w:after="0"/>
            </w:pPr>
            <w:r/>
            <w:r>
              <w:rPr>
                <w:rFonts w:ascii="Arial" w:hAnsi="Arial"/>
                <w:b w:val="0"/>
                <w:sz w:val="17"/>
              </w:rPr>
              <w:t>21.22%</w:t>
            </w:r>
          </w:p>
        </w:tc>
      </w:tr>
      <w:tr>
        <w:tc>
          <w:tcPr>
            <w:tcW w:type="dxa" w:w="1419"/>
            <w:vAlign w:val="center"/>
          </w:tcPr>
          <w:p>
            <w:pPr>
              <w:spacing w:after="0"/>
            </w:pPr>
            <w:r/>
            <w:r>
              <w:rPr>
                <w:rFonts w:ascii="Arial" w:hAnsi="Arial"/>
                <w:b w:val="0"/>
                <w:sz w:val="17"/>
              </w:rPr>
              <w:t>2022</w:t>
            </w:r>
          </w:p>
        </w:tc>
        <w:tc>
          <w:tcPr>
            <w:tcW w:type="dxa" w:w="1419"/>
            <w:vAlign w:val="center"/>
          </w:tcPr>
          <w:p>
            <w:pPr>
              <w:spacing w:after="0"/>
            </w:pPr>
            <w:r/>
            <w:r>
              <w:rPr>
                <w:rFonts w:ascii="Arial" w:hAnsi="Arial"/>
                <w:b w:val="0"/>
                <w:sz w:val="17"/>
              </w:rPr>
              <w:t>1,770,790</w:t>
            </w:r>
          </w:p>
        </w:tc>
        <w:tc>
          <w:tcPr>
            <w:tcW w:type="dxa" w:w="1419"/>
            <w:vAlign w:val="center"/>
          </w:tcPr>
          <w:p>
            <w:pPr>
              <w:spacing w:after="0"/>
            </w:pPr>
            <w:r/>
            <w:r>
              <w:rPr>
                <w:rFonts w:ascii="Arial" w:hAnsi="Arial"/>
                <w:b w:val="0"/>
                <w:sz w:val="17"/>
              </w:rPr>
              <w:t>318,671.89</w:t>
            </w:r>
          </w:p>
        </w:tc>
        <w:tc>
          <w:tcPr>
            <w:tcW w:type="dxa" w:w="1419"/>
            <w:vAlign w:val="center"/>
          </w:tcPr>
          <w:p>
            <w:pPr>
              <w:spacing w:after="0"/>
            </w:pPr>
            <w:r/>
            <w:r>
              <w:rPr>
                <w:rFonts w:ascii="Arial" w:hAnsi="Arial"/>
                <w:b w:val="0"/>
                <w:sz w:val="17"/>
              </w:rPr>
              <w:t>6,883</w:t>
            </w:r>
          </w:p>
        </w:tc>
        <w:tc>
          <w:tcPr>
            <w:tcW w:type="dxa" w:w="1419"/>
            <w:vAlign w:val="center"/>
          </w:tcPr>
          <w:p>
            <w:pPr>
              <w:spacing w:after="0"/>
            </w:pPr>
            <w:r/>
            <w:r>
              <w:rPr>
                <w:rFonts w:ascii="Arial" w:hAnsi="Arial"/>
                <w:b w:val="0"/>
                <w:sz w:val="17"/>
              </w:rPr>
              <w:t>25.96%</w:t>
            </w:r>
          </w:p>
        </w:tc>
        <w:tc>
          <w:tcPr>
            <w:tcW w:type="dxa" w:w="1419"/>
            <w:vAlign w:val="center"/>
          </w:tcPr>
          <w:p>
            <w:pPr>
              <w:spacing w:after="0"/>
            </w:pPr>
            <w:r/>
            <w:r>
              <w:rPr>
                <w:rFonts w:ascii="Arial" w:hAnsi="Arial"/>
                <w:b w:val="0"/>
                <w:sz w:val="17"/>
              </w:rPr>
              <w:t>22.71%</w:t>
            </w:r>
          </w:p>
        </w:tc>
        <w:tc>
          <w:tcPr>
            <w:tcW w:type="dxa" w:w="1419"/>
            <w:vAlign w:val="center"/>
          </w:tcPr>
          <w:p>
            <w:pPr>
              <w:spacing w:after="0"/>
            </w:pPr>
            <w:r/>
            <w:r>
              <w:rPr>
                <w:rFonts w:ascii="Arial" w:hAnsi="Arial"/>
                <w:b w:val="0"/>
                <w:sz w:val="17"/>
              </w:rPr>
              <w:t>25.76%</w:t>
            </w:r>
          </w:p>
        </w:tc>
      </w:tr>
      <w:tr>
        <w:tc>
          <w:tcPr>
            <w:tcW w:type="dxa" w:w="1419"/>
            <w:vAlign w:val="center"/>
          </w:tcPr>
          <w:p>
            <w:pPr>
              <w:spacing w:after="0"/>
            </w:pPr>
            <w:r/>
            <w:r>
              <w:rPr>
                <w:rFonts w:ascii="Arial" w:hAnsi="Arial"/>
                <w:b w:val="0"/>
                <w:sz w:val="17"/>
              </w:rPr>
              <w:t>2023</w:t>
            </w:r>
          </w:p>
        </w:tc>
        <w:tc>
          <w:tcPr>
            <w:tcW w:type="dxa" w:w="1419"/>
            <w:vAlign w:val="center"/>
          </w:tcPr>
          <w:p>
            <w:pPr>
              <w:spacing w:after="0"/>
            </w:pPr>
            <w:r/>
            <w:r>
              <w:rPr>
                <w:rFonts w:ascii="Arial" w:hAnsi="Arial"/>
                <w:b w:val="0"/>
                <w:sz w:val="17"/>
              </w:rPr>
              <w:t>2,192,647</w:t>
            </w:r>
          </w:p>
        </w:tc>
        <w:tc>
          <w:tcPr>
            <w:tcW w:type="dxa" w:w="1419"/>
            <w:vAlign w:val="center"/>
          </w:tcPr>
          <w:p>
            <w:pPr>
              <w:spacing w:after="0"/>
            </w:pPr>
            <w:r/>
            <w:r>
              <w:rPr>
                <w:rFonts w:ascii="Arial" w:hAnsi="Arial"/>
                <w:b w:val="0"/>
                <w:sz w:val="17"/>
              </w:rPr>
              <w:t>279,928.68</w:t>
            </w:r>
          </w:p>
        </w:tc>
        <w:tc>
          <w:tcPr>
            <w:tcW w:type="dxa" w:w="1419"/>
            <w:vAlign w:val="center"/>
          </w:tcPr>
          <w:p>
            <w:pPr>
              <w:spacing w:after="0"/>
            </w:pPr>
            <w:r/>
            <w:r>
              <w:rPr>
                <w:rFonts w:ascii="Arial" w:hAnsi="Arial"/>
                <w:b w:val="0"/>
                <w:sz w:val="17"/>
              </w:rPr>
              <w:t>8,857</w:t>
            </w:r>
          </w:p>
        </w:tc>
        <w:tc>
          <w:tcPr>
            <w:tcW w:type="dxa" w:w="1419"/>
            <w:vAlign w:val="center"/>
          </w:tcPr>
          <w:p>
            <w:pPr>
              <w:spacing w:after="0"/>
            </w:pPr>
            <w:r/>
            <w:r>
              <w:rPr>
                <w:rFonts w:ascii="Arial" w:hAnsi="Arial"/>
                <w:b w:val="0"/>
                <w:sz w:val="17"/>
              </w:rPr>
              <w:t>23.82%</w:t>
            </w:r>
          </w:p>
        </w:tc>
        <w:tc>
          <w:tcPr>
            <w:tcW w:type="dxa" w:w="1419"/>
            <w:vAlign w:val="center"/>
          </w:tcPr>
          <w:p>
            <w:pPr>
              <w:spacing w:after="0"/>
            </w:pPr>
            <w:r/>
            <w:r>
              <w:rPr>
                <w:rFonts w:ascii="Arial" w:hAnsi="Arial"/>
                <w:b w:val="0"/>
                <w:sz w:val="17"/>
              </w:rPr>
              <w:t>−12.16%</w:t>
            </w:r>
          </w:p>
        </w:tc>
        <w:tc>
          <w:tcPr>
            <w:tcW w:type="dxa" w:w="1419"/>
            <w:vAlign w:val="center"/>
          </w:tcPr>
          <w:p>
            <w:pPr>
              <w:spacing w:after="0"/>
            </w:pPr>
            <w:r/>
            <w:r>
              <w:rPr>
                <w:rFonts w:ascii="Arial" w:hAnsi="Arial"/>
                <w:b w:val="0"/>
                <w:sz w:val="17"/>
              </w:rPr>
              <w:t>28.68%</w:t>
            </w:r>
          </w:p>
        </w:tc>
      </w:tr>
    </w:tbl>
    <w:p/>
    <w:p>
      <w:r>
        <w:t>Sales increased each year, from 1.148 million in 2020 to 2.193 million in 2023—approximately 91% growth over the full period. Unique orders also rose each year, reaching 8,857 in 2023. However, profit peaked in 2022 at 318,671.89 and fell to 279,928.68 in 2023. This is the clearest management signal in the analysis: growth in sales and order volume did not translate into higher total profit in 2023.</w:t>
      </w:r>
    </w:p>
    <w:p>
      <w:r>
        <w:t>Possible explanations include changes in product mix, deeper discounts, costs, fulfilment, returns or the mix of markets/customers, but the current summary does not establish which factor caused the decline. The next analysis should decompose the profit change by category, product, discount band and market, then compare like-for-like periods. Monthly trend charts (week4_monthly_trends.png) should be checked for seasonality and unusual months; monthly peaks alone do not establish a recurring seasonal effect.</w:t>
      </w:r>
    </w:p>
    <w:p>
      <w:pPr>
        <w:pStyle w:val="Heading2"/>
      </w:pPr>
      <w:r>
        <w:t>5.3 Category performance and profitability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rFonts w:ascii="Arial" w:hAnsi="Arial"/>
                <w:b/>
                <w:sz w:val="17"/>
              </w:rPr>
              <w:t>Category</w:t>
            </w:r>
          </w:p>
        </w:tc>
        <w:tc>
          <w:tcPr>
            <w:tcW w:type="dxa" w:w="1656"/>
            <w:vAlign w:val="center"/>
            <w:shd w:fill="D9EAF7"/>
          </w:tcPr>
          <w:p>
            <w:pPr>
              <w:spacing w:after="0"/>
            </w:pPr>
            <w:r/>
            <w:r>
              <w:rPr>
                <w:rFonts w:ascii="Arial" w:hAnsi="Arial"/>
                <w:b/>
                <w:sz w:val="17"/>
              </w:rPr>
              <w:t>Sales</w:t>
            </w:r>
          </w:p>
        </w:tc>
        <w:tc>
          <w:tcPr>
            <w:tcW w:type="dxa" w:w="1656"/>
            <w:vAlign w:val="center"/>
            <w:shd w:fill="D9EAF7"/>
          </w:tcPr>
          <w:p>
            <w:pPr>
              <w:spacing w:after="0"/>
            </w:pPr>
            <w:r/>
            <w:r>
              <w:rPr>
                <w:rFonts w:ascii="Arial" w:hAnsi="Arial"/>
                <w:b/>
                <w:sz w:val="17"/>
              </w:rPr>
              <w:t>Profit</w:t>
            </w:r>
          </w:p>
        </w:tc>
        <w:tc>
          <w:tcPr>
            <w:tcW w:type="dxa" w:w="1656"/>
            <w:vAlign w:val="center"/>
            <w:shd w:fill="D9EAF7"/>
          </w:tcPr>
          <w:p>
            <w:pPr>
              <w:spacing w:after="0"/>
            </w:pPr>
            <w:r/>
            <w:r>
              <w:rPr>
                <w:rFonts w:ascii="Arial" w:hAnsi="Arial"/>
                <w:b/>
                <w:sz w:val="17"/>
              </w:rPr>
              <w:t>Avg. discount</w:t>
            </w:r>
          </w:p>
        </w:tc>
        <w:tc>
          <w:tcPr>
            <w:tcW w:type="dxa" w:w="1656"/>
            <w:vAlign w:val="center"/>
            <w:shd w:fill="D9EAF7"/>
          </w:tcPr>
          <w:p>
            <w:pPr>
              <w:spacing w:after="0"/>
            </w:pPr>
            <w:r/>
            <w:r>
              <w:rPr>
                <w:rFonts w:ascii="Arial" w:hAnsi="Arial"/>
                <w:b/>
                <w:sz w:val="17"/>
              </w:rPr>
              <w:t>Transactions</w:t>
            </w:r>
          </w:p>
        </w:tc>
        <w:tc>
          <w:tcPr>
            <w:tcW w:type="dxa" w:w="1656"/>
            <w:vAlign w:val="center"/>
            <w:shd w:fill="D9EAF7"/>
          </w:tcPr>
          <w:p>
            <w:pPr>
              <w:spacing w:after="0"/>
            </w:pPr>
            <w:r/>
            <w:r>
              <w:rPr>
                <w:rFonts w:ascii="Arial" w:hAnsi="Arial"/>
                <w:b/>
                <w:sz w:val="17"/>
              </w:rPr>
              <w:t>Profit margin</w:t>
            </w:r>
          </w:p>
        </w:tc>
      </w:tr>
      <w:tr>
        <w:tc>
          <w:tcPr>
            <w:tcW w:type="dxa" w:w="1656"/>
            <w:vAlign w:val="center"/>
          </w:tcPr>
          <w:p>
            <w:pPr>
              <w:spacing w:after="0"/>
            </w:pPr>
            <w:r/>
            <w:r>
              <w:rPr>
                <w:rFonts w:ascii="Arial" w:hAnsi="Arial"/>
                <w:b w:val="0"/>
                <w:sz w:val="17"/>
              </w:rPr>
              <w:t>Body care</w:t>
            </w:r>
          </w:p>
        </w:tc>
        <w:tc>
          <w:tcPr>
            <w:tcW w:type="dxa" w:w="1656"/>
            <w:vAlign w:val="center"/>
          </w:tcPr>
          <w:p>
            <w:pPr>
              <w:spacing w:after="0"/>
            </w:pPr>
            <w:r/>
            <w:r>
              <w:rPr>
                <w:rFonts w:ascii="Arial" w:hAnsi="Arial"/>
                <w:b w:val="0"/>
                <w:sz w:val="17"/>
              </w:rPr>
              <w:t>2,682,942</w:t>
            </w:r>
          </w:p>
        </w:tc>
        <w:tc>
          <w:tcPr>
            <w:tcW w:type="dxa" w:w="1656"/>
            <w:vAlign w:val="center"/>
          </w:tcPr>
          <w:p>
            <w:pPr>
              <w:spacing w:after="0"/>
            </w:pPr>
            <w:r/>
            <w:r>
              <w:rPr>
                <w:rFonts w:ascii="Arial" w:hAnsi="Arial"/>
                <w:b w:val="0"/>
                <w:sz w:val="17"/>
              </w:rPr>
              <w:t>590,907.78</w:t>
            </w:r>
          </w:p>
        </w:tc>
        <w:tc>
          <w:tcPr>
            <w:tcW w:type="dxa" w:w="1656"/>
            <w:vAlign w:val="center"/>
          </w:tcPr>
          <w:p>
            <w:pPr>
              <w:spacing w:after="0"/>
            </w:pPr>
            <w:r/>
            <w:r>
              <w:rPr>
                <w:rFonts w:ascii="Arial" w:hAnsi="Arial"/>
                <w:b w:val="0"/>
                <w:sz w:val="17"/>
              </w:rPr>
              <w:t>0.15</w:t>
            </w:r>
          </w:p>
        </w:tc>
        <w:tc>
          <w:tcPr>
            <w:tcW w:type="dxa" w:w="1656"/>
            <w:vAlign w:val="center"/>
          </w:tcPr>
          <w:p>
            <w:pPr>
              <w:spacing w:after="0"/>
            </w:pPr>
            <w:r/>
            <w:r>
              <w:rPr>
                <w:rFonts w:ascii="Arial" w:hAnsi="Arial"/>
                <w:b w:val="0"/>
                <w:sz w:val="17"/>
              </w:rPr>
              <w:t>21,062</w:t>
            </w:r>
          </w:p>
        </w:tc>
        <w:tc>
          <w:tcPr>
            <w:tcW w:type="dxa" w:w="1656"/>
            <w:vAlign w:val="center"/>
          </w:tcPr>
          <w:p>
            <w:pPr>
              <w:spacing w:after="0"/>
            </w:pPr>
            <w:r/>
            <w:r>
              <w:rPr>
                <w:rFonts w:ascii="Arial" w:hAnsi="Arial"/>
                <w:b w:val="0"/>
                <w:sz w:val="17"/>
              </w:rPr>
              <w:t>22.02%</w:t>
            </w:r>
          </w:p>
        </w:tc>
      </w:tr>
      <w:tr>
        <w:tc>
          <w:tcPr>
            <w:tcW w:type="dxa" w:w="1656"/>
            <w:vAlign w:val="center"/>
          </w:tcPr>
          <w:p>
            <w:pPr>
              <w:spacing w:after="0"/>
            </w:pPr>
            <w:r/>
            <w:r>
              <w:rPr>
                <w:rFonts w:ascii="Arial" w:hAnsi="Arial"/>
                <w:b w:val="0"/>
                <w:sz w:val="17"/>
              </w:rPr>
              <w:t>Home and Accessories</w:t>
            </w:r>
          </w:p>
        </w:tc>
        <w:tc>
          <w:tcPr>
            <w:tcW w:type="dxa" w:w="1656"/>
            <w:vAlign w:val="center"/>
          </w:tcPr>
          <w:p>
            <w:pPr>
              <w:spacing w:after="0"/>
            </w:pPr>
            <w:r/>
            <w:r>
              <w:rPr>
                <w:rFonts w:ascii="Arial" w:hAnsi="Arial"/>
                <w:b w:val="0"/>
                <w:sz w:val="17"/>
              </w:rPr>
              <w:t>1,245,643</w:t>
            </w:r>
          </w:p>
        </w:tc>
        <w:tc>
          <w:tcPr>
            <w:tcW w:type="dxa" w:w="1656"/>
            <w:vAlign w:val="center"/>
          </w:tcPr>
          <w:p>
            <w:pPr>
              <w:spacing w:after="0"/>
            </w:pPr>
            <w:r/>
            <w:r>
              <w:rPr>
                <w:rFonts w:ascii="Arial" w:hAnsi="Arial"/>
                <w:b w:val="0"/>
                <w:sz w:val="17"/>
              </w:rPr>
              <w:t>−57,187.64</w:t>
            </w:r>
          </w:p>
        </w:tc>
        <w:tc>
          <w:tcPr>
            <w:tcW w:type="dxa" w:w="1656"/>
            <w:vAlign w:val="center"/>
          </w:tcPr>
          <w:p>
            <w:pPr>
              <w:spacing w:after="0"/>
            </w:pPr>
            <w:r/>
            <w:r>
              <w:rPr>
                <w:rFonts w:ascii="Arial" w:hAnsi="Arial"/>
                <w:b w:val="0"/>
                <w:sz w:val="17"/>
              </w:rPr>
              <w:t>0.14</w:t>
            </w:r>
          </w:p>
        </w:tc>
        <w:tc>
          <w:tcPr>
            <w:tcW w:type="dxa" w:w="1656"/>
            <w:vAlign w:val="center"/>
          </w:tcPr>
          <w:p>
            <w:pPr>
              <w:spacing w:after="0"/>
            </w:pPr>
            <w:r/>
            <w:r>
              <w:rPr>
                <w:rFonts w:ascii="Arial" w:hAnsi="Arial"/>
                <w:b w:val="0"/>
                <w:sz w:val="17"/>
              </w:rPr>
              <w:t>9,516</w:t>
            </w:r>
          </w:p>
        </w:tc>
        <w:tc>
          <w:tcPr>
            <w:tcW w:type="dxa" w:w="1656"/>
            <w:vAlign w:val="center"/>
          </w:tcPr>
          <w:p>
            <w:pPr>
              <w:spacing w:after="0"/>
            </w:pPr>
            <w:r/>
            <w:r>
              <w:rPr>
                <w:rFonts w:ascii="Arial" w:hAnsi="Arial"/>
                <w:b w:val="0"/>
                <w:sz w:val="17"/>
              </w:rPr>
              <w:t>−4.59%</w:t>
            </w:r>
          </w:p>
        </w:tc>
      </w:tr>
      <w:tr>
        <w:tc>
          <w:tcPr>
            <w:tcW w:type="dxa" w:w="1656"/>
            <w:vAlign w:val="center"/>
          </w:tcPr>
          <w:p>
            <w:pPr>
              <w:spacing w:after="0"/>
            </w:pPr>
            <w:r/>
            <w:r>
              <w:rPr>
                <w:rFonts w:ascii="Arial" w:hAnsi="Arial"/>
                <w:b w:val="0"/>
                <w:sz w:val="17"/>
              </w:rPr>
              <w:t>Make up</w:t>
            </w:r>
          </w:p>
        </w:tc>
        <w:tc>
          <w:tcPr>
            <w:tcW w:type="dxa" w:w="1656"/>
            <w:vAlign w:val="center"/>
          </w:tcPr>
          <w:p>
            <w:pPr>
              <w:spacing w:after="0"/>
            </w:pPr>
            <w:r/>
            <w:r>
              <w:rPr>
                <w:rFonts w:ascii="Arial" w:hAnsi="Arial"/>
                <w:b w:val="0"/>
                <w:sz w:val="17"/>
              </w:rPr>
              <w:t>1,121,222</w:t>
            </w:r>
          </w:p>
        </w:tc>
        <w:tc>
          <w:tcPr>
            <w:tcW w:type="dxa" w:w="1656"/>
            <w:vAlign w:val="center"/>
          </w:tcPr>
          <w:p>
            <w:pPr>
              <w:spacing w:after="0"/>
            </w:pPr>
            <w:r/>
            <w:r>
              <w:rPr>
                <w:rFonts w:ascii="Arial" w:hAnsi="Arial"/>
                <w:b w:val="0"/>
                <w:sz w:val="17"/>
              </w:rPr>
              <w:t>368,998.18</w:t>
            </w:r>
          </w:p>
        </w:tc>
        <w:tc>
          <w:tcPr>
            <w:tcW w:type="dxa" w:w="1656"/>
            <w:vAlign w:val="center"/>
          </w:tcPr>
          <w:p>
            <w:pPr>
              <w:spacing w:after="0"/>
            </w:pPr>
            <w:r/>
            <w:r>
              <w:rPr>
                <w:rFonts w:ascii="Arial" w:hAnsi="Arial"/>
                <w:b w:val="0"/>
                <w:sz w:val="17"/>
              </w:rPr>
              <w:t>0.13</w:t>
            </w:r>
          </w:p>
        </w:tc>
        <w:tc>
          <w:tcPr>
            <w:tcW w:type="dxa" w:w="1656"/>
            <w:vAlign w:val="center"/>
          </w:tcPr>
          <w:p>
            <w:pPr>
              <w:spacing w:after="0"/>
            </w:pPr>
            <w:r/>
            <w:r>
              <w:rPr>
                <w:rFonts w:ascii="Arial" w:hAnsi="Arial"/>
                <w:b w:val="0"/>
                <w:sz w:val="17"/>
              </w:rPr>
              <w:t>9,017</w:t>
            </w:r>
          </w:p>
        </w:tc>
        <w:tc>
          <w:tcPr>
            <w:tcW w:type="dxa" w:w="1656"/>
            <w:vAlign w:val="center"/>
          </w:tcPr>
          <w:p>
            <w:pPr>
              <w:spacing w:after="0"/>
            </w:pPr>
            <w:r/>
            <w:r>
              <w:rPr>
                <w:rFonts w:ascii="Arial" w:hAnsi="Arial"/>
                <w:b w:val="0"/>
                <w:sz w:val="17"/>
              </w:rPr>
              <w:t>32.91%</w:t>
            </w:r>
          </w:p>
        </w:tc>
      </w:tr>
      <w:tr>
        <w:tc>
          <w:tcPr>
            <w:tcW w:type="dxa" w:w="1656"/>
            <w:vAlign w:val="center"/>
          </w:tcPr>
          <w:p>
            <w:pPr>
              <w:spacing w:after="0"/>
            </w:pPr>
            <w:r/>
            <w:r>
              <w:rPr>
                <w:rFonts w:ascii="Arial" w:hAnsi="Arial"/>
                <w:b w:val="0"/>
                <w:sz w:val="17"/>
              </w:rPr>
              <w:t>Hair care</w:t>
            </w:r>
          </w:p>
        </w:tc>
        <w:tc>
          <w:tcPr>
            <w:tcW w:type="dxa" w:w="1656"/>
            <w:vAlign w:val="center"/>
          </w:tcPr>
          <w:p>
            <w:pPr>
              <w:spacing w:after="0"/>
            </w:pPr>
            <w:r/>
            <w:r>
              <w:rPr>
                <w:rFonts w:ascii="Arial" w:hAnsi="Arial"/>
                <w:b w:val="0"/>
                <w:sz w:val="17"/>
              </w:rPr>
              <w:t>1,022,151</w:t>
            </w:r>
          </w:p>
        </w:tc>
        <w:tc>
          <w:tcPr>
            <w:tcW w:type="dxa" w:w="1656"/>
            <w:vAlign w:val="center"/>
          </w:tcPr>
          <w:p>
            <w:pPr>
              <w:spacing w:after="0"/>
            </w:pPr>
            <w:r/>
            <w:r>
              <w:rPr>
                <w:rFonts w:ascii="Arial" w:hAnsi="Arial"/>
                <w:b w:val="0"/>
                <w:sz w:val="17"/>
              </w:rPr>
              <w:t>3,677.23</w:t>
            </w:r>
          </w:p>
        </w:tc>
        <w:tc>
          <w:tcPr>
            <w:tcW w:type="dxa" w:w="1656"/>
            <w:vAlign w:val="center"/>
          </w:tcPr>
          <w:p>
            <w:pPr>
              <w:spacing w:after="0"/>
            </w:pPr>
            <w:r/>
            <w:r>
              <w:rPr>
                <w:rFonts w:ascii="Arial" w:hAnsi="Arial"/>
                <w:b w:val="0"/>
                <w:sz w:val="17"/>
              </w:rPr>
              <w:t>0.14</w:t>
            </w:r>
          </w:p>
        </w:tc>
        <w:tc>
          <w:tcPr>
            <w:tcW w:type="dxa" w:w="1656"/>
            <w:vAlign w:val="center"/>
          </w:tcPr>
          <w:p>
            <w:pPr>
              <w:spacing w:after="0"/>
            </w:pPr>
            <w:r/>
            <w:r>
              <w:rPr>
                <w:rFonts w:ascii="Arial" w:hAnsi="Arial"/>
                <w:b w:val="0"/>
                <w:sz w:val="17"/>
              </w:rPr>
              <w:t>8,203</w:t>
            </w:r>
          </w:p>
        </w:tc>
        <w:tc>
          <w:tcPr>
            <w:tcW w:type="dxa" w:w="1656"/>
            <w:vAlign w:val="center"/>
          </w:tcPr>
          <w:p>
            <w:pPr>
              <w:spacing w:after="0"/>
            </w:pPr>
            <w:r/>
            <w:r>
              <w:rPr>
                <w:rFonts w:ascii="Arial" w:hAnsi="Arial"/>
                <w:b w:val="0"/>
                <w:sz w:val="17"/>
              </w:rPr>
              <w:t>0.36%</w:t>
            </w:r>
          </w:p>
        </w:tc>
      </w:tr>
      <w:tr>
        <w:tc>
          <w:tcPr>
            <w:tcW w:type="dxa" w:w="1656"/>
            <w:vAlign w:val="center"/>
          </w:tcPr>
          <w:p>
            <w:pPr>
              <w:spacing w:after="0"/>
            </w:pPr>
            <w:r/>
            <w:r>
              <w:rPr>
                <w:rFonts w:ascii="Arial" w:hAnsi="Arial"/>
                <w:b w:val="0"/>
                <w:sz w:val="17"/>
              </w:rPr>
              <w:t>Face care</w:t>
            </w:r>
          </w:p>
        </w:tc>
        <w:tc>
          <w:tcPr>
            <w:tcW w:type="dxa" w:w="1656"/>
            <w:vAlign w:val="center"/>
          </w:tcPr>
          <w:p>
            <w:pPr>
              <w:spacing w:after="0"/>
            </w:pPr>
            <w:r/>
            <w:r>
              <w:rPr>
                <w:rFonts w:ascii="Arial" w:hAnsi="Arial"/>
                <w:b w:val="0"/>
                <w:sz w:val="17"/>
              </w:rPr>
              <w:t>445,716</w:t>
            </w:r>
          </w:p>
        </w:tc>
        <w:tc>
          <w:tcPr>
            <w:tcW w:type="dxa" w:w="1656"/>
            <w:vAlign w:val="center"/>
          </w:tcPr>
          <w:p>
            <w:pPr>
              <w:spacing w:after="0"/>
            </w:pPr>
            <w:r/>
            <w:r>
              <w:rPr>
                <w:rFonts w:ascii="Arial" w:hAnsi="Arial"/>
                <w:b w:val="0"/>
                <w:sz w:val="17"/>
              </w:rPr>
              <w:t>159,018.10</w:t>
            </w:r>
          </w:p>
        </w:tc>
        <w:tc>
          <w:tcPr>
            <w:tcW w:type="dxa" w:w="1656"/>
            <w:vAlign w:val="center"/>
          </w:tcPr>
          <w:p>
            <w:pPr>
              <w:spacing w:after="0"/>
            </w:pPr>
            <w:r/>
            <w:r>
              <w:rPr>
                <w:rFonts w:ascii="Arial" w:hAnsi="Arial"/>
                <w:b w:val="0"/>
                <w:sz w:val="17"/>
              </w:rPr>
              <w:t>0.11</w:t>
            </w:r>
          </w:p>
        </w:tc>
        <w:tc>
          <w:tcPr>
            <w:tcW w:type="dxa" w:w="1656"/>
            <w:vAlign w:val="center"/>
          </w:tcPr>
          <w:p>
            <w:pPr>
              <w:spacing w:after="0"/>
            </w:pPr>
            <w:r/>
            <w:r>
              <w:rPr>
                <w:rFonts w:ascii="Arial" w:hAnsi="Arial"/>
                <w:b w:val="0"/>
                <w:sz w:val="17"/>
              </w:rPr>
              <w:t>3,492</w:t>
            </w:r>
          </w:p>
        </w:tc>
        <w:tc>
          <w:tcPr>
            <w:tcW w:type="dxa" w:w="1656"/>
            <w:vAlign w:val="center"/>
          </w:tcPr>
          <w:p>
            <w:pPr>
              <w:spacing w:after="0"/>
            </w:pPr>
            <w:r/>
            <w:r>
              <w:rPr>
                <w:rFonts w:ascii="Arial" w:hAnsi="Arial"/>
                <w:b w:val="0"/>
                <w:sz w:val="17"/>
              </w:rPr>
              <w:t>35.68%</w:t>
            </w:r>
          </w:p>
        </w:tc>
      </w:tr>
    </w:tbl>
    <w:p/>
    <w:p>
      <w:r>
        <w:drawing>
          <wp:inline xmlns:a="http://schemas.openxmlformats.org/drawingml/2006/main" xmlns:pic="http://schemas.openxmlformats.org/drawingml/2006/picture">
            <wp:extent cx="5577840" cy="3097055"/>
            <wp:docPr id="3" name="Picture 3"/>
            <wp:cNvGraphicFramePr>
              <a:graphicFrameLocks noChangeAspect="1"/>
            </wp:cNvGraphicFramePr>
            <a:graphic>
              <a:graphicData uri="http://schemas.openxmlformats.org/drawingml/2006/picture">
                <pic:pic>
                  <pic:nvPicPr>
                    <pic:cNvPr id="0" name="report_category_profit.png"/>
                    <pic:cNvPicPr/>
                  </pic:nvPicPr>
                  <pic:blipFill>
                    <a:blip r:embed="rId11"/>
                    <a:stretch>
                      <a:fillRect/>
                    </a:stretch>
                  </pic:blipFill>
                  <pic:spPr>
                    <a:xfrm>
                      <a:off x="0" y="0"/>
                      <a:ext cx="5577840" cy="3097055"/>
                    </a:xfrm>
                    <a:prstGeom prst="rect"/>
                  </pic:spPr>
                </pic:pic>
              </a:graphicData>
            </a:graphic>
          </wp:inline>
        </w:drawing>
      </w:r>
    </w:p>
    <w:p>
      <w:pPr>
        <w:jc w:val="center"/>
      </w:pPr>
      <w:r>
        <w:rPr>
          <w:i/>
          <w:sz w:val="17"/>
        </w:rPr>
        <w:t>Figure 3. Profit by category.</w:t>
      </w:r>
    </w:p>
    <w:p>
      <w:r>
        <w:drawing>
          <wp:inline xmlns:a="http://schemas.openxmlformats.org/drawingml/2006/main" xmlns:pic="http://schemas.openxmlformats.org/drawingml/2006/picture">
            <wp:extent cx="5577840" cy="3134555"/>
            <wp:docPr id="4" name="Picture 4"/>
            <wp:cNvGraphicFramePr>
              <a:graphicFrameLocks noChangeAspect="1"/>
            </wp:cNvGraphicFramePr>
            <a:graphic>
              <a:graphicData uri="http://schemas.openxmlformats.org/drawingml/2006/picture">
                <pic:pic>
                  <pic:nvPicPr>
                    <pic:cNvPr id="0" name="report_category_margin.png"/>
                    <pic:cNvPicPr/>
                  </pic:nvPicPr>
                  <pic:blipFill>
                    <a:blip r:embed="rId12"/>
                    <a:stretch>
                      <a:fillRect/>
                    </a:stretch>
                  </pic:blipFill>
                  <pic:spPr>
                    <a:xfrm>
                      <a:off x="0" y="0"/>
                      <a:ext cx="5577840" cy="3134555"/>
                    </a:xfrm>
                    <a:prstGeom prst="rect"/>
                  </pic:spPr>
                </pic:pic>
              </a:graphicData>
            </a:graphic>
          </wp:inline>
        </w:drawing>
      </w:r>
    </w:p>
    <w:p>
      <w:pPr>
        <w:jc w:val="center"/>
      </w:pPr>
      <w:r>
        <w:rPr>
          <w:i/>
          <w:sz w:val="17"/>
        </w:rPr>
        <w:t>Figure 4. Profit margin by category.</w:t>
      </w:r>
    </w:p>
    <w:p>
      <w:r>
        <w:t>Body care contributes the largest sales and profit totals in this dataset. Face care has the highest margin (35.68%) among the listed categories, followed by Make up (32.91%). These margins are promising but should be validated at product/SKU level, including volume and cost assumptions. Home and Accessories is loss-making in aggregate, with −57,187.64 profit and a −4.59% margin. Hair care generates positive profit but has a 0.36% margin, leaving little room for cost increases or promotional errors.</w:t>
      </w:r>
    </w:p>
    <w:p>
      <w:r>
        <w:t>Recommended diagnostic: for Home and Accessories and Hair care, break down profit by product, discount band, market and order size. Compare the proportion of loss-making lines and the contribution of high-loss items. Do not assume discounting is the sole cause from average-discount summaries alone.</w:t>
      </w:r>
    </w:p>
    <w:p>
      <w:pPr>
        <w:pStyle w:val="Heading2"/>
      </w:pPr>
      <w:r>
        <w:t>5.4 Market performance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pPr>
              <w:spacing w:after="0"/>
            </w:pPr>
            <w:r/>
            <w:r>
              <w:rPr>
                <w:rFonts w:ascii="Arial" w:hAnsi="Arial"/>
                <w:b/>
                <w:sz w:val="17"/>
              </w:rPr>
              <w:t>Market</w:t>
            </w:r>
          </w:p>
        </w:tc>
        <w:tc>
          <w:tcPr>
            <w:tcW w:type="dxa" w:w="1242"/>
            <w:vAlign w:val="center"/>
            <w:shd w:fill="D9EAF7"/>
          </w:tcPr>
          <w:p>
            <w:pPr>
              <w:spacing w:after="0"/>
            </w:pPr>
            <w:r/>
            <w:r>
              <w:rPr>
                <w:rFonts w:ascii="Arial" w:hAnsi="Arial"/>
                <w:b/>
                <w:sz w:val="17"/>
              </w:rPr>
              <w:t>Sales</w:t>
            </w:r>
          </w:p>
        </w:tc>
        <w:tc>
          <w:tcPr>
            <w:tcW w:type="dxa" w:w="1242"/>
            <w:vAlign w:val="center"/>
            <w:shd w:fill="D9EAF7"/>
          </w:tcPr>
          <w:p>
            <w:pPr>
              <w:spacing w:after="0"/>
            </w:pPr>
            <w:r/>
            <w:r>
              <w:rPr>
                <w:rFonts w:ascii="Arial" w:hAnsi="Arial"/>
                <w:b/>
                <w:sz w:val="17"/>
              </w:rPr>
              <w:t>Profit</w:t>
            </w:r>
          </w:p>
        </w:tc>
        <w:tc>
          <w:tcPr>
            <w:tcW w:type="dxa" w:w="1242"/>
            <w:vAlign w:val="center"/>
            <w:shd w:fill="D9EAF7"/>
          </w:tcPr>
          <w:p>
            <w:pPr>
              <w:spacing w:after="0"/>
            </w:pPr>
            <w:r/>
            <w:r>
              <w:rPr>
                <w:rFonts w:ascii="Arial" w:hAnsi="Arial"/>
                <w:b/>
                <w:sz w:val="17"/>
              </w:rPr>
              <w:t>Avg. discount</w:t>
            </w:r>
          </w:p>
        </w:tc>
        <w:tc>
          <w:tcPr>
            <w:tcW w:type="dxa" w:w="1242"/>
            <w:vAlign w:val="center"/>
            <w:shd w:fill="D9EAF7"/>
          </w:tcPr>
          <w:p>
            <w:pPr>
              <w:spacing w:after="0"/>
            </w:pPr>
            <w:r/>
            <w:r>
              <w:rPr>
                <w:rFonts w:ascii="Arial" w:hAnsi="Arial"/>
                <w:b/>
                <w:sz w:val="17"/>
              </w:rPr>
              <w:t>Transactions</w:t>
            </w:r>
          </w:p>
        </w:tc>
        <w:tc>
          <w:tcPr>
            <w:tcW w:type="dxa" w:w="1242"/>
            <w:vAlign w:val="center"/>
            <w:shd w:fill="D9EAF7"/>
          </w:tcPr>
          <w:p>
            <w:pPr>
              <w:spacing w:after="0"/>
            </w:pPr>
            <w:r/>
            <w:r>
              <w:rPr>
                <w:rFonts w:ascii="Arial" w:hAnsi="Arial"/>
                <w:b/>
                <w:sz w:val="17"/>
              </w:rPr>
              <w:t>Unique orders</w:t>
            </w:r>
          </w:p>
        </w:tc>
        <w:tc>
          <w:tcPr>
            <w:tcW w:type="dxa" w:w="1242"/>
            <w:vAlign w:val="center"/>
            <w:shd w:fill="D9EAF7"/>
          </w:tcPr>
          <w:p>
            <w:pPr>
              <w:spacing w:after="0"/>
            </w:pPr>
            <w:r/>
            <w:r>
              <w:rPr>
                <w:rFonts w:ascii="Arial" w:hAnsi="Arial"/>
                <w:b/>
                <w:sz w:val="17"/>
              </w:rPr>
              <w:t>Unique customers</w:t>
            </w:r>
          </w:p>
        </w:tc>
        <w:tc>
          <w:tcPr>
            <w:tcW w:type="dxa" w:w="1242"/>
            <w:vAlign w:val="center"/>
            <w:shd w:fill="D9EAF7"/>
          </w:tcPr>
          <w:p>
            <w:pPr>
              <w:spacing w:after="0"/>
            </w:pPr>
            <w:r/>
            <w:r>
              <w:rPr>
                <w:rFonts w:ascii="Arial" w:hAnsi="Arial"/>
                <w:b/>
                <w:sz w:val="17"/>
              </w:rPr>
              <w:t>Margin</w:t>
            </w:r>
          </w:p>
        </w:tc>
      </w:tr>
      <w:tr>
        <w:tc>
          <w:tcPr>
            <w:tcW w:type="dxa" w:w="1242"/>
            <w:vAlign w:val="center"/>
          </w:tcPr>
          <w:p>
            <w:pPr>
              <w:spacing w:after="0"/>
            </w:pPr>
            <w:r/>
            <w:r>
              <w:rPr>
                <w:rFonts w:ascii="Arial" w:hAnsi="Arial"/>
                <w:b w:val="0"/>
                <w:sz w:val="17"/>
              </w:rPr>
              <w:t>Asia Pacific</w:t>
            </w:r>
          </w:p>
        </w:tc>
        <w:tc>
          <w:tcPr>
            <w:tcW w:type="dxa" w:w="1242"/>
            <w:vAlign w:val="center"/>
          </w:tcPr>
          <w:p>
            <w:pPr>
              <w:spacing w:after="0"/>
            </w:pPr>
            <w:r/>
            <w:r>
              <w:rPr>
                <w:rFonts w:ascii="Arial" w:hAnsi="Arial"/>
                <w:b w:val="0"/>
                <w:sz w:val="17"/>
              </w:rPr>
              <w:t>1,831,648</w:t>
            </w:r>
          </w:p>
        </w:tc>
        <w:tc>
          <w:tcPr>
            <w:tcW w:type="dxa" w:w="1242"/>
            <w:vAlign w:val="center"/>
          </w:tcPr>
          <w:p>
            <w:pPr>
              <w:spacing w:after="0"/>
            </w:pPr>
            <w:r/>
            <w:r>
              <w:rPr>
                <w:rFonts w:ascii="Arial" w:hAnsi="Arial"/>
                <w:b w:val="0"/>
                <w:sz w:val="17"/>
              </w:rPr>
              <w:t>228,742.59</w:t>
            </w:r>
          </w:p>
        </w:tc>
        <w:tc>
          <w:tcPr>
            <w:tcW w:type="dxa" w:w="1242"/>
            <w:vAlign w:val="center"/>
          </w:tcPr>
          <w:p>
            <w:pPr>
              <w:spacing w:after="0"/>
            </w:pPr>
            <w:r/>
            <w:r>
              <w:rPr>
                <w:rFonts w:ascii="Arial" w:hAnsi="Arial"/>
                <w:b w:val="0"/>
                <w:sz w:val="17"/>
              </w:rPr>
              <w:t>0.18</w:t>
            </w:r>
          </w:p>
        </w:tc>
        <w:tc>
          <w:tcPr>
            <w:tcW w:type="dxa" w:w="1242"/>
            <w:vAlign w:val="center"/>
          </w:tcPr>
          <w:p>
            <w:pPr>
              <w:spacing w:after="0"/>
            </w:pPr>
            <w:r/>
            <w:r>
              <w:rPr>
                <w:rFonts w:ascii="Arial" w:hAnsi="Arial"/>
                <w:b w:val="0"/>
                <w:sz w:val="17"/>
              </w:rPr>
              <w:t>14,302</w:t>
            </w:r>
          </w:p>
        </w:tc>
        <w:tc>
          <w:tcPr>
            <w:tcW w:type="dxa" w:w="1242"/>
            <w:vAlign w:val="center"/>
          </w:tcPr>
          <w:p>
            <w:pPr>
              <w:spacing w:after="0"/>
            </w:pPr>
            <w:r/>
            <w:r>
              <w:rPr>
                <w:rFonts w:ascii="Arial" w:hAnsi="Arial"/>
                <w:b w:val="0"/>
                <w:sz w:val="17"/>
              </w:rPr>
              <w:t>7,080</w:t>
            </w:r>
          </w:p>
        </w:tc>
        <w:tc>
          <w:tcPr>
            <w:tcW w:type="dxa" w:w="1242"/>
            <w:vAlign w:val="center"/>
          </w:tcPr>
          <w:p>
            <w:pPr>
              <w:spacing w:after="0"/>
            </w:pPr>
            <w:r/>
            <w:r>
              <w:rPr>
                <w:rFonts w:ascii="Arial" w:hAnsi="Arial"/>
                <w:b w:val="0"/>
                <w:sz w:val="17"/>
              </w:rPr>
              <w:t>4,941</w:t>
            </w:r>
          </w:p>
        </w:tc>
        <w:tc>
          <w:tcPr>
            <w:tcW w:type="dxa" w:w="1242"/>
            <w:vAlign w:val="center"/>
          </w:tcPr>
          <w:p>
            <w:pPr>
              <w:spacing w:after="0"/>
            </w:pPr>
            <w:r/>
            <w:r>
              <w:rPr>
                <w:rFonts w:ascii="Arial" w:hAnsi="Arial"/>
                <w:b w:val="0"/>
                <w:sz w:val="17"/>
              </w:rPr>
              <w:t>12.49%</w:t>
            </w:r>
          </w:p>
        </w:tc>
      </w:tr>
      <w:tr>
        <w:tc>
          <w:tcPr>
            <w:tcW w:type="dxa" w:w="1242"/>
            <w:vAlign w:val="center"/>
          </w:tcPr>
          <w:p>
            <w:pPr>
              <w:spacing w:after="0"/>
            </w:pPr>
            <w:r/>
            <w:r>
              <w:rPr>
                <w:rFonts w:ascii="Arial" w:hAnsi="Arial"/>
                <w:b w:val="0"/>
                <w:sz w:val="17"/>
              </w:rPr>
              <w:t>Africa</w:t>
            </w:r>
          </w:p>
        </w:tc>
        <w:tc>
          <w:tcPr>
            <w:tcW w:type="dxa" w:w="1242"/>
            <w:vAlign w:val="center"/>
          </w:tcPr>
          <w:p>
            <w:pPr>
              <w:spacing w:after="0"/>
            </w:pPr>
            <w:r/>
            <w:r>
              <w:rPr>
                <w:rFonts w:ascii="Arial" w:hAnsi="Arial"/>
                <w:b w:val="0"/>
                <w:sz w:val="17"/>
              </w:rPr>
              <w:t>486,811</w:t>
            </w:r>
          </w:p>
        </w:tc>
        <w:tc>
          <w:tcPr>
            <w:tcW w:type="dxa" w:w="1242"/>
            <w:vAlign w:val="center"/>
          </w:tcPr>
          <w:p>
            <w:pPr>
              <w:spacing w:after="0"/>
            </w:pPr>
            <w:r/>
            <w:r>
              <w:rPr>
                <w:rFonts w:ascii="Arial" w:hAnsi="Arial"/>
                <w:b w:val="0"/>
                <w:sz w:val="17"/>
              </w:rPr>
              <w:t>66,213.45</w:t>
            </w:r>
          </w:p>
        </w:tc>
        <w:tc>
          <w:tcPr>
            <w:tcW w:type="dxa" w:w="1242"/>
            <w:vAlign w:val="center"/>
          </w:tcPr>
          <w:p>
            <w:pPr>
              <w:spacing w:after="0"/>
            </w:pPr>
            <w:r/>
            <w:r>
              <w:rPr>
                <w:rFonts w:ascii="Arial" w:hAnsi="Arial"/>
                <w:b w:val="0"/>
                <w:sz w:val="17"/>
              </w:rPr>
              <w:t>0.16</w:t>
            </w:r>
          </w:p>
        </w:tc>
        <w:tc>
          <w:tcPr>
            <w:tcW w:type="dxa" w:w="1242"/>
            <w:vAlign w:val="center"/>
          </w:tcPr>
          <w:p>
            <w:pPr>
              <w:spacing w:after="0"/>
            </w:pPr>
            <w:r/>
            <w:r>
              <w:rPr>
                <w:rFonts w:ascii="Arial" w:hAnsi="Arial"/>
                <w:b w:val="0"/>
                <w:sz w:val="17"/>
              </w:rPr>
              <w:t>4,587</w:t>
            </w:r>
          </w:p>
        </w:tc>
        <w:tc>
          <w:tcPr>
            <w:tcW w:type="dxa" w:w="1242"/>
            <w:vAlign w:val="center"/>
          </w:tcPr>
          <w:p>
            <w:pPr>
              <w:spacing w:after="0"/>
            </w:pPr>
            <w:r/>
            <w:r>
              <w:rPr>
                <w:rFonts w:ascii="Arial" w:hAnsi="Arial"/>
                <w:b w:val="0"/>
                <w:sz w:val="17"/>
              </w:rPr>
              <w:t>2,288</w:t>
            </w:r>
          </w:p>
        </w:tc>
        <w:tc>
          <w:tcPr>
            <w:tcW w:type="dxa" w:w="1242"/>
            <w:vAlign w:val="center"/>
          </w:tcPr>
          <w:p>
            <w:pPr>
              <w:spacing w:after="0"/>
            </w:pPr>
            <w:r/>
            <w:r>
              <w:rPr>
                <w:rFonts w:ascii="Arial" w:hAnsi="Arial"/>
                <w:b w:val="0"/>
                <w:sz w:val="17"/>
              </w:rPr>
              <w:t>2,055</w:t>
            </w:r>
          </w:p>
        </w:tc>
        <w:tc>
          <w:tcPr>
            <w:tcW w:type="dxa" w:w="1242"/>
            <w:vAlign w:val="center"/>
          </w:tcPr>
          <w:p>
            <w:pPr>
              <w:spacing w:after="0"/>
            </w:pPr>
            <w:r/>
            <w:r>
              <w:rPr>
                <w:rFonts w:ascii="Arial" w:hAnsi="Arial"/>
                <w:b w:val="0"/>
                <w:sz w:val="17"/>
              </w:rPr>
              <w:t>13.60%</w:t>
            </w:r>
          </w:p>
        </w:tc>
      </w:tr>
      <w:tr>
        <w:tc>
          <w:tcPr>
            <w:tcW w:type="dxa" w:w="1242"/>
            <w:vAlign w:val="center"/>
          </w:tcPr>
          <w:p>
            <w:pPr>
              <w:spacing w:after="0"/>
            </w:pPr>
            <w:r/>
            <w:r>
              <w:rPr>
                <w:rFonts w:ascii="Arial" w:hAnsi="Arial"/>
                <w:b w:val="0"/>
                <w:sz w:val="17"/>
              </w:rPr>
              <w:t>LATAM</w:t>
            </w:r>
          </w:p>
        </w:tc>
        <w:tc>
          <w:tcPr>
            <w:tcW w:type="dxa" w:w="1242"/>
            <w:vAlign w:val="center"/>
          </w:tcPr>
          <w:p>
            <w:pPr>
              <w:spacing w:after="0"/>
            </w:pPr>
            <w:r/>
            <w:r>
              <w:rPr>
                <w:rFonts w:ascii="Arial" w:hAnsi="Arial"/>
                <w:b w:val="0"/>
                <w:sz w:val="17"/>
              </w:rPr>
              <w:t>1,339,726</w:t>
            </w:r>
          </w:p>
        </w:tc>
        <w:tc>
          <w:tcPr>
            <w:tcW w:type="dxa" w:w="1242"/>
            <w:vAlign w:val="center"/>
          </w:tcPr>
          <w:p>
            <w:pPr>
              <w:spacing w:after="0"/>
            </w:pPr>
            <w:r/>
            <w:r>
              <w:rPr>
                <w:rFonts w:ascii="Arial" w:hAnsi="Arial"/>
                <w:b w:val="0"/>
                <w:sz w:val="17"/>
              </w:rPr>
              <w:t>216,042.79</w:t>
            </w:r>
          </w:p>
        </w:tc>
        <w:tc>
          <w:tcPr>
            <w:tcW w:type="dxa" w:w="1242"/>
            <w:vAlign w:val="center"/>
          </w:tcPr>
          <w:p>
            <w:pPr>
              <w:spacing w:after="0"/>
            </w:pPr>
            <w:r/>
            <w:r>
              <w:rPr>
                <w:rFonts w:ascii="Arial" w:hAnsi="Arial"/>
                <w:b w:val="0"/>
                <w:sz w:val="17"/>
              </w:rPr>
              <w:t>0.14</w:t>
            </w:r>
          </w:p>
        </w:tc>
        <w:tc>
          <w:tcPr>
            <w:tcW w:type="dxa" w:w="1242"/>
            <w:vAlign w:val="center"/>
          </w:tcPr>
          <w:p>
            <w:pPr>
              <w:spacing w:after="0"/>
            </w:pPr>
            <w:r/>
            <w:r>
              <w:rPr>
                <w:rFonts w:ascii="Arial" w:hAnsi="Arial"/>
                <w:b w:val="0"/>
                <w:sz w:val="17"/>
              </w:rPr>
              <w:t>10,294</w:t>
            </w:r>
          </w:p>
        </w:tc>
        <w:tc>
          <w:tcPr>
            <w:tcW w:type="dxa" w:w="1242"/>
            <w:vAlign w:val="center"/>
          </w:tcPr>
          <w:p>
            <w:pPr>
              <w:spacing w:after="0"/>
            </w:pPr>
            <w:r/>
            <w:r>
              <w:rPr>
                <w:rFonts w:ascii="Arial" w:hAnsi="Arial"/>
                <w:b w:val="0"/>
                <w:sz w:val="17"/>
              </w:rPr>
              <w:t>5,144</w:t>
            </w:r>
          </w:p>
        </w:tc>
        <w:tc>
          <w:tcPr>
            <w:tcW w:type="dxa" w:w="1242"/>
            <w:vAlign w:val="center"/>
          </w:tcPr>
          <w:p>
            <w:pPr>
              <w:spacing w:after="0"/>
            </w:pPr>
            <w:r/>
            <w:r>
              <w:rPr>
                <w:rFonts w:ascii="Arial" w:hAnsi="Arial"/>
                <w:b w:val="0"/>
                <w:sz w:val="17"/>
              </w:rPr>
              <w:t>3,702</w:t>
            </w:r>
          </w:p>
        </w:tc>
        <w:tc>
          <w:tcPr>
            <w:tcW w:type="dxa" w:w="1242"/>
            <w:vAlign w:val="center"/>
          </w:tcPr>
          <w:p>
            <w:pPr>
              <w:spacing w:after="0"/>
            </w:pPr>
            <w:r/>
            <w:r>
              <w:rPr>
                <w:rFonts w:ascii="Arial" w:hAnsi="Arial"/>
                <w:b w:val="0"/>
                <w:sz w:val="17"/>
              </w:rPr>
              <w:t>16.13%</w:t>
            </w:r>
          </w:p>
        </w:tc>
      </w:tr>
      <w:tr>
        <w:tc>
          <w:tcPr>
            <w:tcW w:type="dxa" w:w="1242"/>
            <w:vAlign w:val="center"/>
          </w:tcPr>
          <w:p>
            <w:pPr>
              <w:spacing w:after="0"/>
            </w:pPr>
            <w:r/>
            <w:r>
              <w:rPr>
                <w:rFonts w:ascii="Arial" w:hAnsi="Arial"/>
                <w:b w:val="0"/>
                <w:sz w:val="17"/>
              </w:rPr>
              <w:t>USCA</w:t>
            </w:r>
          </w:p>
        </w:tc>
        <w:tc>
          <w:tcPr>
            <w:tcW w:type="dxa" w:w="1242"/>
            <w:vAlign w:val="center"/>
          </w:tcPr>
          <w:p>
            <w:pPr>
              <w:spacing w:after="0"/>
            </w:pPr>
            <w:r/>
            <w:r>
              <w:rPr>
                <w:rFonts w:ascii="Arial" w:hAnsi="Arial"/>
                <w:b w:val="0"/>
                <w:sz w:val="17"/>
              </w:rPr>
              <w:t>1,372,045</w:t>
            </w:r>
          </w:p>
        </w:tc>
        <w:tc>
          <w:tcPr>
            <w:tcW w:type="dxa" w:w="1242"/>
            <w:vAlign w:val="center"/>
          </w:tcPr>
          <w:p>
            <w:pPr>
              <w:spacing w:after="0"/>
            </w:pPr>
            <w:r/>
            <w:r>
              <w:rPr>
                <w:rFonts w:ascii="Arial" w:hAnsi="Arial"/>
                <w:b w:val="0"/>
                <w:sz w:val="17"/>
              </w:rPr>
              <w:t>222,770.12</w:t>
            </w:r>
          </w:p>
        </w:tc>
        <w:tc>
          <w:tcPr>
            <w:tcW w:type="dxa" w:w="1242"/>
            <w:vAlign w:val="center"/>
          </w:tcPr>
          <w:p>
            <w:pPr>
              <w:spacing w:after="0"/>
            </w:pPr>
            <w:r/>
            <w:r>
              <w:rPr>
                <w:rFonts w:ascii="Arial" w:hAnsi="Arial"/>
                <w:b w:val="0"/>
                <w:sz w:val="17"/>
              </w:rPr>
              <w:t>0.15</w:t>
            </w:r>
          </w:p>
        </w:tc>
        <w:tc>
          <w:tcPr>
            <w:tcW w:type="dxa" w:w="1242"/>
            <w:vAlign w:val="center"/>
          </w:tcPr>
          <w:p>
            <w:pPr>
              <w:spacing w:after="0"/>
            </w:pPr>
            <w:r/>
            <w:r>
              <w:rPr>
                <w:rFonts w:ascii="Arial" w:hAnsi="Arial"/>
                <w:b w:val="0"/>
                <w:sz w:val="17"/>
              </w:rPr>
              <w:t>10,378</w:t>
            </w:r>
          </w:p>
        </w:tc>
        <w:tc>
          <w:tcPr>
            <w:tcW w:type="dxa" w:w="1242"/>
            <w:vAlign w:val="center"/>
          </w:tcPr>
          <w:p>
            <w:pPr>
              <w:spacing w:after="0"/>
            </w:pPr>
            <w:r/>
            <w:r>
              <w:rPr>
                <w:rFonts w:ascii="Arial" w:hAnsi="Arial"/>
                <w:b w:val="0"/>
                <w:sz w:val="17"/>
              </w:rPr>
              <w:t>5,203</w:t>
            </w:r>
          </w:p>
        </w:tc>
        <w:tc>
          <w:tcPr>
            <w:tcW w:type="dxa" w:w="1242"/>
            <w:vAlign w:val="center"/>
          </w:tcPr>
          <w:p>
            <w:pPr>
              <w:spacing w:after="0"/>
            </w:pPr>
            <w:r/>
            <w:r>
              <w:rPr>
                <w:rFonts w:ascii="Arial" w:hAnsi="Arial"/>
                <w:b w:val="0"/>
                <w:sz w:val="17"/>
              </w:rPr>
              <w:t>2,682</w:t>
            </w:r>
          </w:p>
        </w:tc>
        <w:tc>
          <w:tcPr>
            <w:tcW w:type="dxa" w:w="1242"/>
            <w:vAlign w:val="center"/>
          </w:tcPr>
          <w:p>
            <w:pPr>
              <w:spacing w:after="0"/>
            </w:pPr>
            <w:r/>
            <w:r>
              <w:rPr>
                <w:rFonts w:ascii="Arial" w:hAnsi="Arial"/>
                <w:b w:val="0"/>
                <w:sz w:val="17"/>
              </w:rPr>
              <w:t>16.24%</w:t>
            </w:r>
          </w:p>
        </w:tc>
      </w:tr>
      <w:tr>
        <w:tc>
          <w:tcPr>
            <w:tcW w:type="dxa" w:w="1242"/>
            <w:vAlign w:val="center"/>
          </w:tcPr>
          <w:p>
            <w:pPr>
              <w:spacing w:after="0"/>
            </w:pPr>
            <w:r/>
            <w:r>
              <w:rPr>
                <w:rFonts w:ascii="Arial" w:hAnsi="Arial"/>
                <w:b w:val="0"/>
                <w:sz w:val="17"/>
              </w:rPr>
              <w:t>Europe</w:t>
            </w:r>
          </w:p>
        </w:tc>
        <w:tc>
          <w:tcPr>
            <w:tcW w:type="dxa" w:w="1242"/>
            <w:vAlign w:val="center"/>
          </w:tcPr>
          <w:p>
            <w:pPr>
              <w:spacing w:after="0"/>
            </w:pPr>
            <w:r/>
            <w:r>
              <w:rPr>
                <w:rFonts w:ascii="Arial" w:hAnsi="Arial"/>
                <w:b w:val="0"/>
                <w:sz w:val="17"/>
              </w:rPr>
              <w:t>1,487,444</w:t>
            </w:r>
          </w:p>
        </w:tc>
        <w:tc>
          <w:tcPr>
            <w:tcW w:type="dxa" w:w="1242"/>
            <w:vAlign w:val="center"/>
          </w:tcPr>
          <w:p>
            <w:pPr>
              <w:spacing w:after="0"/>
            </w:pPr>
            <w:r/>
            <w:r>
              <w:rPr>
                <w:rFonts w:ascii="Arial" w:hAnsi="Arial"/>
                <w:b w:val="0"/>
                <w:sz w:val="17"/>
              </w:rPr>
              <w:t>331,644.70</w:t>
            </w:r>
          </w:p>
        </w:tc>
        <w:tc>
          <w:tcPr>
            <w:tcW w:type="dxa" w:w="1242"/>
            <w:vAlign w:val="center"/>
          </w:tcPr>
          <w:p>
            <w:pPr>
              <w:spacing w:after="0"/>
            </w:pPr>
            <w:r/>
            <w:r>
              <w:rPr>
                <w:rFonts w:ascii="Arial" w:hAnsi="Arial"/>
                <w:b w:val="0"/>
                <w:sz w:val="17"/>
              </w:rPr>
              <w:t>0.09</w:t>
            </w:r>
          </w:p>
        </w:tc>
        <w:tc>
          <w:tcPr>
            <w:tcW w:type="dxa" w:w="1242"/>
            <w:vAlign w:val="center"/>
          </w:tcPr>
          <w:p>
            <w:pPr>
              <w:spacing w:after="0"/>
            </w:pPr>
            <w:r/>
            <w:r>
              <w:rPr>
                <w:rFonts w:ascii="Arial" w:hAnsi="Arial"/>
                <w:b w:val="0"/>
                <w:sz w:val="17"/>
              </w:rPr>
              <w:t>11,729</w:t>
            </w:r>
          </w:p>
        </w:tc>
        <w:tc>
          <w:tcPr>
            <w:tcW w:type="dxa" w:w="1242"/>
            <w:vAlign w:val="center"/>
          </w:tcPr>
          <w:p>
            <w:pPr>
              <w:spacing w:after="0"/>
            </w:pPr>
            <w:r/>
            <w:r>
              <w:rPr>
                <w:rFonts w:ascii="Arial" w:hAnsi="Arial"/>
                <w:b w:val="0"/>
                <w:sz w:val="17"/>
              </w:rPr>
              <w:t>6,013</w:t>
            </w:r>
          </w:p>
        </w:tc>
        <w:tc>
          <w:tcPr>
            <w:tcW w:type="dxa" w:w="1242"/>
            <w:vAlign w:val="center"/>
          </w:tcPr>
          <w:p>
            <w:pPr>
              <w:spacing w:after="0"/>
            </w:pPr>
            <w:r/>
            <w:r>
              <w:rPr>
                <w:rFonts w:ascii="Arial" w:hAnsi="Arial"/>
                <w:b w:val="0"/>
                <w:sz w:val="17"/>
              </w:rPr>
              <w:t>4,035</w:t>
            </w:r>
          </w:p>
        </w:tc>
        <w:tc>
          <w:tcPr>
            <w:tcW w:type="dxa" w:w="1242"/>
            <w:vAlign w:val="center"/>
          </w:tcPr>
          <w:p>
            <w:pPr>
              <w:spacing w:after="0"/>
            </w:pPr>
            <w:r/>
            <w:r>
              <w:rPr>
                <w:rFonts w:ascii="Arial" w:hAnsi="Arial"/>
                <w:b w:val="0"/>
                <w:sz w:val="17"/>
              </w:rPr>
              <w:t>22.30%</w:t>
            </w:r>
          </w:p>
        </w:tc>
      </w:tr>
    </w:tbl>
    <w:p/>
    <w:p>
      <w:r>
        <w:drawing>
          <wp:inline xmlns:a="http://schemas.openxmlformats.org/drawingml/2006/main" xmlns:pic="http://schemas.openxmlformats.org/drawingml/2006/picture">
            <wp:extent cx="5577840" cy="3095308"/>
            <wp:docPr id="5" name="Picture 5"/>
            <wp:cNvGraphicFramePr>
              <a:graphicFrameLocks noChangeAspect="1"/>
            </wp:cNvGraphicFramePr>
            <a:graphic>
              <a:graphicData uri="http://schemas.openxmlformats.org/drawingml/2006/picture">
                <pic:pic>
                  <pic:nvPicPr>
                    <pic:cNvPr id="0" name="report_market_margin.png"/>
                    <pic:cNvPicPr/>
                  </pic:nvPicPr>
                  <pic:blipFill>
                    <a:blip r:embed="rId13"/>
                    <a:stretch>
                      <a:fillRect/>
                    </a:stretch>
                  </pic:blipFill>
                  <pic:spPr>
                    <a:xfrm>
                      <a:off x="0" y="0"/>
                      <a:ext cx="5577840" cy="3095308"/>
                    </a:xfrm>
                    <a:prstGeom prst="rect"/>
                  </pic:spPr>
                </pic:pic>
              </a:graphicData>
            </a:graphic>
          </wp:inline>
        </w:drawing>
      </w:r>
    </w:p>
    <w:p>
      <w:pPr>
        <w:jc w:val="center"/>
      </w:pPr>
      <w:r>
        <w:rPr>
          <w:i/>
          <w:sz w:val="17"/>
        </w:rPr>
        <w:t>Figure 5. Profit margin by market.</w:t>
      </w:r>
    </w:p>
    <w:p>
      <w:r>
        <w:t>Asia Pacific has the highest sales among these markets (1,831,648) and the largest transaction count, but its margin is 12.49%, the lowest of the five listed markets. Europe has the highest observed margin (22.30%) and the largest profit total (331,644.70), despite sales below Asia Pacific. Europe also has the lowest average discount (0.09) in the summary. These are associations, not proof that discount differences explain margin differences. Market-level cost structures, product mix and order economics should be checked before changing regional strategy.</w:t>
      </w:r>
    </w:p>
    <w:p>
      <w:pPr>
        <w:pStyle w:val="Heading2"/>
      </w:pPr>
      <w:r>
        <w:t>5.5 Customer activity and retention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Indicator</w:t>
            </w:r>
          </w:p>
        </w:tc>
        <w:tc>
          <w:tcPr>
            <w:tcW w:type="dxa" w:w="3312"/>
            <w:vAlign w:val="center"/>
            <w:shd w:fill="D9EAF7"/>
          </w:tcPr>
          <w:p>
            <w:pPr>
              <w:spacing w:after="0"/>
            </w:pPr>
            <w:r/>
            <w:r>
              <w:rPr>
                <w:rFonts w:ascii="Arial" w:hAnsi="Arial"/>
                <w:b/>
                <w:sz w:val="17"/>
              </w:rPr>
              <w:t>Count</w:t>
            </w:r>
          </w:p>
        </w:tc>
        <w:tc>
          <w:tcPr>
            <w:tcW w:type="dxa" w:w="3312"/>
            <w:vAlign w:val="center"/>
            <w:shd w:fill="D9EAF7"/>
          </w:tcPr>
          <w:p>
            <w:pPr>
              <w:spacing w:after="0"/>
            </w:pPr>
            <w:r/>
            <w:r>
              <w:rPr>
                <w:rFonts w:ascii="Arial" w:hAnsi="Arial"/>
                <w:b/>
                <w:sz w:val="17"/>
              </w:rPr>
              <w:t>Share</w:t>
            </w:r>
          </w:p>
        </w:tc>
      </w:tr>
      <w:tr>
        <w:tc>
          <w:tcPr>
            <w:tcW w:type="dxa" w:w="3312"/>
            <w:vAlign w:val="center"/>
          </w:tcPr>
          <w:p>
            <w:pPr>
              <w:spacing w:after="0"/>
            </w:pPr>
            <w:r/>
            <w:r>
              <w:rPr>
                <w:rFonts w:ascii="Arial" w:hAnsi="Arial"/>
                <w:b w:val="0"/>
                <w:sz w:val="17"/>
              </w:rPr>
              <w:t>All customers</w:t>
            </w:r>
          </w:p>
        </w:tc>
        <w:tc>
          <w:tcPr>
            <w:tcW w:type="dxa" w:w="3312"/>
            <w:vAlign w:val="center"/>
          </w:tcPr>
          <w:p>
            <w:pPr>
              <w:spacing w:after="0"/>
            </w:pPr>
            <w:r/>
            <w:r>
              <w:rPr>
                <w:rFonts w:ascii="Arial" w:hAnsi="Arial"/>
                <w:b w:val="0"/>
                <w:sz w:val="17"/>
              </w:rPr>
              <w:t>17,415</w:t>
            </w:r>
          </w:p>
        </w:tc>
        <w:tc>
          <w:tcPr>
            <w:tcW w:type="dxa" w:w="3312"/>
            <w:vAlign w:val="center"/>
          </w:tcPr>
          <w:p>
            <w:pPr>
              <w:spacing w:after="0"/>
            </w:pPr>
            <w:r/>
            <w:r>
              <w:rPr>
                <w:rFonts w:ascii="Arial" w:hAnsi="Arial"/>
                <w:b w:val="0"/>
                <w:sz w:val="17"/>
              </w:rPr>
              <w:t>100.00%</w:t>
            </w:r>
          </w:p>
        </w:tc>
      </w:tr>
      <w:tr>
        <w:tc>
          <w:tcPr>
            <w:tcW w:type="dxa" w:w="3312"/>
            <w:vAlign w:val="center"/>
          </w:tcPr>
          <w:p>
            <w:pPr>
              <w:spacing w:after="0"/>
            </w:pPr>
            <w:r/>
            <w:r>
              <w:rPr>
                <w:rFonts w:ascii="Arial" w:hAnsi="Arial"/>
                <w:b w:val="0"/>
                <w:sz w:val="17"/>
              </w:rPr>
              <w:t>Inactive (recency &gt; 365 days)</w:t>
            </w:r>
          </w:p>
        </w:tc>
        <w:tc>
          <w:tcPr>
            <w:tcW w:type="dxa" w:w="3312"/>
            <w:vAlign w:val="center"/>
          </w:tcPr>
          <w:p>
            <w:pPr>
              <w:spacing w:after="0"/>
            </w:pPr>
            <w:r/>
            <w:r>
              <w:rPr>
                <w:rFonts w:ascii="Arial" w:hAnsi="Arial"/>
                <w:b w:val="0"/>
                <w:sz w:val="17"/>
              </w:rPr>
              <w:t>9,768</w:t>
            </w:r>
          </w:p>
        </w:tc>
        <w:tc>
          <w:tcPr>
            <w:tcW w:type="dxa" w:w="3312"/>
            <w:vAlign w:val="center"/>
          </w:tcPr>
          <w:p>
            <w:pPr>
              <w:spacing w:after="0"/>
            </w:pPr>
            <w:r/>
            <w:r>
              <w:rPr>
                <w:rFonts w:ascii="Arial" w:hAnsi="Arial"/>
                <w:b w:val="0"/>
                <w:sz w:val="17"/>
              </w:rPr>
              <w:t>56.09%</w:t>
            </w:r>
          </w:p>
        </w:tc>
      </w:tr>
      <w:tr>
        <w:tc>
          <w:tcPr>
            <w:tcW w:type="dxa" w:w="3312"/>
            <w:vAlign w:val="center"/>
          </w:tcPr>
          <w:p>
            <w:pPr>
              <w:spacing w:after="0"/>
            </w:pPr>
            <w:r/>
            <w:r>
              <w:rPr>
                <w:rFonts w:ascii="Arial" w:hAnsi="Arial"/>
                <w:b w:val="0"/>
                <w:sz w:val="17"/>
              </w:rPr>
              <w:t>Active (recency ≤ 365 days)</w:t>
            </w:r>
          </w:p>
        </w:tc>
        <w:tc>
          <w:tcPr>
            <w:tcW w:type="dxa" w:w="3312"/>
            <w:vAlign w:val="center"/>
          </w:tcPr>
          <w:p>
            <w:pPr>
              <w:spacing w:after="0"/>
            </w:pPr>
            <w:r/>
            <w:r>
              <w:rPr>
                <w:rFonts w:ascii="Arial" w:hAnsi="Arial"/>
                <w:b w:val="0"/>
                <w:sz w:val="17"/>
              </w:rPr>
              <w:t>7,647</w:t>
            </w:r>
          </w:p>
        </w:tc>
        <w:tc>
          <w:tcPr>
            <w:tcW w:type="dxa" w:w="3312"/>
            <w:vAlign w:val="center"/>
          </w:tcPr>
          <w:p>
            <w:pPr>
              <w:spacing w:after="0"/>
            </w:pPr>
            <w:r/>
            <w:r>
              <w:rPr>
                <w:rFonts w:ascii="Arial" w:hAnsi="Arial"/>
                <w:b w:val="0"/>
                <w:sz w:val="17"/>
              </w:rPr>
              <w:t>43.91%</w:t>
            </w:r>
          </w:p>
        </w:tc>
      </w:tr>
      <w:tr>
        <w:tc>
          <w:tcPr>
            <w:tcW w:type="dxa" w:w="3312"/>
            <w:vAlign w:val="center"/>
          </w:tcPr>
          <w:p>
            <w:pPr>
              <w:spacing w:after="0"/>
            </w:pPr>
            <w:r/>
            <w:r>
              <w:rPr>
                <w:rFonts w:ascii="Arial" w:hAnsi="Arial"/>
                <w:b w:val="0"/>
                <w:sz w:val="17"/>
              </w:rPr>
              <w:t>One-time buyers</w:t>
            </w:r>
          </w:p>
        </w:tc>
        <w:tc>
          <w:tcPr>
            <w:tcW w:type="dxa" w:w="3312"/>
            <w:vAlign w:val="center"/>
          </w:tcPr>
          <w:p>
            <w:pPr>
              <w:spacing w:after="0"/>
            </w:pPr>
            <w:r/>
            <w:r>
              <w:rPr>
                <w:rFonts w:ascii="Arial" w:hAnsi="Arial"/>
                <w:b w:val="0"/>
                <w:sz w:val="17"/>
              </w:rPr>
              <w:t>11,979</w:t>
            </w:r>
          </w:p>
        </w:tc>
        <w:tc>
          <w:tcPr>
            <w:tcW w:type="dxa" w:w="3312"/>
            <w:vAlign w:val="center"/>
          </w:tcPr>
          <w:p>
            <w:pPr>
              <w:spacing w:after="0"/>
            </w:pPr>
            <w:r/>
            <w:r>
              <w:rPr>
                <w:rFonts w:ascii="Arial" w:hAnsi="Arial"/>
                <w:b w:val="0"/>
                <w:sz w:val="17"/>
              </w:rPr>
              <w:t>68.79%</w:t>
            </w:r>
          </w:p>
        </w:tc>
      </w:tr>
      <w:tr>
        <w:tc>
          <w:tcPr>
            <w:tcW w:type="dxa" w:w="3312"/>
            <w:vAlign w:val="center"/>
          </w:tcPr>
          <w:p>
            <w:pPr>
              <w:spacing w:after="0"/>
            </w:pPr>
            <w:r/>
            <w:r>
              <w:rPr>
                <w:rFonts w:ascii="Arial" w:hAnsi="Arial"/>
                <w:b w:val="0"/>
                <w:sz w:val="17"/>
              </w:rPr>
              <w:t>Frequent buyers (3+ orders)</w:t>
            </w:r>
          </w:p>
        </w:tc>
        <w:tc>
          <w:tcPr>
            <w:tcW w:type="dxa" w:w="3312"/>
            <w:vAlign w:val="center"/>
          </w:tcPr>
          <w:p>
            <w:pPr>
              <w:spacing w:after="0"/>
            </w:pPr>
            <w:r/>
            <w:r>
              <w:rPr>
                <w:rFonts w:ascii="Arial" w:hAnsi="Arial"/>
                <w:b w:val="0"/>
                <w:sz w:val="17"/>
              </w:rPr>
              <w:t>1,969</w:t>
            </w:r>
          </w:p>
        </w:tc>
        <w:tc>
          <w:tcPr>
            <w:tcW w:type="dxa" w:w="3312"/>
            <w:vAlign w:val="center"/>
          </w:tcPr>
          <w:p>
            <w:pPr>
              <w:spacing w:after="0"/>
            </w:pPr>
            <w:r/>
            <w:r>
              <w:rPr>
                <w:rFonts w:ascii="Arial" w:hAnsi="Arial"/>
                <w:b w:val="0"/>
                <w:sz w:val="17"/>
              </w:rPr>
              <w:t>11.31%</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Metric</w:t>
            </w:r>
          </w:p>
        </w:tc>
        <w:tc>
          <w:tcPr>
            <w:tcW w:type="dxa" w:w="3312"/>
            <w:vAlign w:val="center"/>
            <w:shd w:fill="D9EAF7"/>
          </w:tcPr>
          <w:p>
            <w:pPr>
              <w:spacing w:after="0"/>
            </w:pPr>
            <w:r/>
            <w:r>
              <w:rPr>
                <w:rFonts w:ascii="Arial" w:hAnsi="Arial"/>
                <w:b/>
                <w:sz w:val="17"/>
              </w:rPr>
              <w:t>Active mean</w:t>
            </w:r>
          </w:p>
        </w:tc>
        <w:tc>
          <w:tcPr>
            <w:tcW w:type="dxa" w:w="3312"/>
            <w:vAlign w:val="center"/>
            <w:shd w:fill="D9EAF7"/>
          </w:tcPr>
          <w:p>
            <w:pPr>
              <w:spacing w:after="0"/>
            </w:pPr>
            <w:r/>
            <w:r>
              <w:rPr>
                <w:rFonts w:ascii="Arial" w:hAnsi="Arial"/>
                <w:b/>
                <w:sz w:val="17"/>
              </w:rPr>
              <w:t>Inactive mean</w:t>
            </w:r>
          </w:p>
        </w:tc>
      </w:tr>
      <w:tr>
        <w:tc>
          <w:tcPr>
            <w:tcW w:type="dxa" w:w="3312"/>
            <w:vAlign w:val="center"/>
          </w:tcPr>
          <w:p>
            <w:pPr>
              <w:spacing w:after="0"/>
            </w:pPr>
            <w:r/>
            <w:r>
              <w:rPr>
                <w:rFonts w:ascii="Arial" w:hAnsi="Arial"/>
                <w:b w:val="0"/>
                <w:sz w:val="17"/>
              </w:rPr>
              <w:t>Recency (days)</w:t>
            </w:r>
          </w:p>
        </w:tc>
        <w:tc>
          <w:tcPr>
            <w:tcW w:type="dxa" w:w="3312"/>
            <w:vAlign w:val="center"/>
          </w:tcPr>
          <w:p>
            <w:pPr>
              <w:spacing w:after="0"/>
            </w:pPr>
            <w:r/>
            <w:r>
              <w:rPr>
                <w:rFonts w:ascii="Arial" w:hAnsi="Arial"/>
                <w:b w:val="0"/>
                <w:sz w:val="17"/>
              </w:rPr>
              <w:t>143.92</w:t>
            </w:r>
          </w:p>
        </w:tc>
        <w:tc>
          <w:tcPr>
            <w:tcW w:type="dxa" w:w="3312"/>
            <w:vAlign w:val="center"/>
          </w:tcPr>
          <w:p>
            <w:pPr>
              <w:spacing w:after="0"/>
            </w:pPr>
            <w:r/>
            <w:r>
              <w:rPr>
                <w:rFonts w:ascii="Arial" w:hAnsi="Arial"/>
                <w:b w:val="0"/>
                <w:sz w:val="17"/>
              </w:rPr>
              <w:t>791.40</w:t>
            </w:r>
          </w:p>
        </w:tc>
      </w:tr>
      <w:tr>
        <w:tc>
          <w:tcPr>
            <w:tcW w:type="dxa" w:w="3312"/>
            <w:vAlign w:val="center"/>
          </w:tcPr>
          <w:p>
            <w:pPr>
              <w:spacing w:after="0"/>
            </w:pPr>
            <w:r/>
            <w:r>
              <w:rPr>
                <w:rFonts w:ascii="Arial" w:hAnsi="Arial"/>
                <w:b w:val="0"/>
                <w:sz w:val="17"/>
              </w:rPr>
              <w:t>Frequency</w:t>
            </w:r>
          </w:p>
        </w:tc>
        <w:tc>
          <w:tcPr>
            <w:tcW w:type="dxa" w:w="3312"/>
            <w:vAlign w:val="center"/>
          </w:tcPr>
          <w:p>
            <w:pPr>
              <w:spacing w:after="0"/>
            </w:pPr>
            <w:r/>
            <w:r>
              <w:rPr>
                <w:rFonts w:ascii="Arial" w:hAnsi="Arial"/>
                <w:b w:val="0"/>
                <w:sz w:val="17"/>
              </w:rPr>
              <w:t>1.75</w:t>
            </w:r>
          </w:p>
        </w:tc>
        <w:tc>
          <w:tcPr>
            <w:tcW w:type="dxa" w:w="3312"/>
            <w:vAlign w:val="center"/>
          </w:tcPr>
          <w:p>
            <w:pPr>
              <w:spacing w:after="0"/>
            </w:pPr>
            <w:r/>
            <w:r>
              <w:rPr>
                <w:rFonts w:ascii="Arial" w:hAnsi="Arial"/>
                <w:b w:val="0"/>
                <w:sz w:val="17"/>
              </w:rPr>
              <w:t>1.27</w:t>
            </w:r>
          </w:p>
        </w:tc>
      </w:tr>
      <w:tr>
        <w:tc>
          <w:tcPr>
            <w:tcW w:type="dxa" w:w="3312"/>
            <w:vAlign w:val="center"/>
          </w:tcPr>
          <w:p>
            <w:pPr>
              <w:spacing w:after="0"/>
            </w:pPr>
            <w:r/>
            <w:r>
              <w:rPr>
                <w:rFonts w:ascii="Arial" w:hAnsi="Arial"/>
                <w:b w:val="0"/>
                <w:sz w:val="17"/>
              </w:rPr>
              <w:t>Monetary</w:t>
            </w:r>
          </w:p>
        </w:tc>
        <w:tc>
          <w:tcPr>
            <w:tcW w:type="dxa" w:w="3312"/>
            <w:vAlign w:val="center"/>
          </w:tcPr>
          <w:p>
            <w:pPr>
              <w:spacing w:after="0"/>
            </w:pPr>
            <w:r/>
            <w:r>
              <w:rPr>
                <w:rFonts w:ascii="Arial" w:hAnsi="Arial"/>
                <w:b w:val="0"/>
                <w:sz w:val="17"/>
              </w:rPr>
              <w:t>442.42</w:t>
            </w:r>
          </w:p>
        </w:tc>
        <w:tc>
          <w:tcPr>
            <w:tcW w:type="dxa" w:w="3312"/>
            <w:vAlign w:val="center"/>
          </w:tcPr>
          <w:p>
            <w:pPr>
              <w:spacing w:after="0"/>
            </w:pPr>
            <w:r/>
            <w:r>
              <w:rPr>
                <w:rFonts w:ascii="Arial" w:hAnsi="Arial"/>
                <w:b w:val="0"/>
                <w:sz w:val="17"/>
              </w:rPr>
              <w:t>320.90</w:t>
            </w:r>
          </w:p>
        </w:tc>
      </w:tr>
      <w:tr>
        <w:tc>
          <w:tcPr>
            <w:tcW w:type="dxa" w:w="3312"/>
            <w:vAlign w:val="center"/>
          </w:tcPr>
          <w:p>
            <w:pPr>
              <w:spacing w:after="0"/>
            </w:pPr>
            <w:r/>
            <w:r>
              <w:rPr>
                <w:rFonts w:ascii="Arial" w:hAnsi="Arial"/>
                <w:b w:val="0"/>
                <w:sz w:val="17"/>
              </w:rPr>
              <w:t>Total quantity</w:t>
            </w:r>
          </w:p>
        </w:tc>
        <w:tc>
          <w:tcPr>
            <w:tcW w:type="dxa" w:w="3312"/>
            <w:vAlign w:val="center"/>
          </w:tcPr>
          <w:p>
            <w:pPr>
              <w:spacing w:after="0"/>
            </w:pPr>
            <w:r/>
            <w:r>
              <w:rPr>
                <w:rFonts w:ascii="Arial" w:hAnsi="Arial"/>
                <w:b w:val="0"/>
                <w:sz w:val="17"/>
              </w:rPr>
              <w:t>18.89</w:t>
            </w:r>
          </w:p>
        </w:tc>
        <w:tc>
          <w:tcPr>
            <w:tcW w:type="dxa" w:w="3312"/>
            <w:vAlign w:val="center"/>
          </w:tcPr>
          <w:p>
            <w:pPr>
              <w:spacing w:after="0"/>
            </w:pPr>
            <w:r/>
            <w:r>
              <w:rPr>
                <w:rFonts w:ascii="Arial" w:hAnsi="Arial"/>
                <w:b w:val="0"/>
                <w:sz w:val="17"/>
              </w:rPr>
              <w:t>13.65</w:t>
            </w:r>
          </w:p>
        </w:tc>
      </w:tr>
      <w:tr>
        <w:tc>
          <w:tcPr>
            <w:tcW w:type="dxa" w:w="3312"/>
            <w:vAlign w:val="center"/>
          </w:tcPr>
          <w:p>
            <w:pPr>
              <w:spacing w:after="0"/>
            </w:pPr>
            <w:r/>
            <w:r>
              <w:rPr>
                <w:rFonts w:ascii="Arial" w:hAnsi="Arial"/>
                <w:b w:val="0"/>
                <w:sz w:val="17"/>
              </w:rPr>
              <w:t>Total profit</w:t>
            </w:r>
          </w:p>
        </w:tc>
        <w:tc>
          <w:tcPr>
            <w:tcW w:type="dxa" w:w="3312"/>
            <w:vAlign w:val="center"/>
          </w:tcPr>
          <w:p>
            <w:pPr>
              <w:spacing w:after="0"/>
            </w:pPr>
            <w:r/>
            <w:r>
              <w:rPr>
                <w:rFonts w:ascii="Arial" w:hAnsi="Arial"/>
                <w:b w:val="0"/>
                <w:sz w:val="17"/>
              </w:rPr>
              <w:t>66.20</w:t>
            </w:r>
          </w:p>
        </w:tc>
        <w:tc>
          <w:tcPr>
            <w:tcW w:type="dxa" w:w="3312"/>
            <w:vAlign w:val="center"/>
          </w:tcPr>
          <w:p>
            <w:pPr>
              <w:spacing w:after="0"/>
            </w:pPr>
            <w:r/>
            <w:r>
              <w:rPr>
                <w:rFonts w:ascii="Arial" w:hAnsi="Arial"/>
                <w:b w:val="0"/>
                <w:sz w:val="17"/>
              </w:rPr>
              <w:t>57.25</w:t>
            </w:r>
          </w:p>
        </w:tc>
      </w:tr>
      <w:tr>
        <w:tc>
          <w:tcPr>
            <w:tcW w:type="dxa" w:w="3312"/>
            <w:vAlign w:val="center"/>
          </w:tcPr>
          <w:p>
            <w:pPr>
              <w:spacing w:after="0"/>
            </w:pPr>
            <w:r/>
            <w:r>
              <w:rPr>
                <w:rFonts w:ascii="Arial" w:hAnsi="Arial"/>
                <w:b w:val="0"/>
                <w:sz w:val="17"/>
              </w:rPr>
              <w:t>Average discount</w:t>
            </w:r>
          </w:p>
        </w:tc>
        <w:tc>
          <w:tcPr>
            <w:tcW w:type="dxa" w:w="3312"/>
            <w:vAlign w:val="center"/>
          </w:tcPr>
          <w:p>
            <w:pPr>
              <w:spacing w:after="0"/>
            </w:pPr>
            <w:r/>
            <w:r>
              <w:rPr>
                <w:rFonts w:ascii="Arial" w:hAnsi="Arial"/>
                <w:b w:val="0"/>
                <w:sz w:val="17"/>
              </w:rPr>
              <w:t>0.14</w:t>
            </w:r>
          </w:p>
        </w:tc>
        <w:tc>
          <w:tcPr>
            <w:tcW w:type="dxa" w:w="3312"/>
            <w:vAlign w:val="center"/>
          </w:tcPr>
          <w:p>
            <w:pPr>
              <w:spacing w:after="0"/>
            </w:pPr>
            <w:r/>
            <w:r>
              <w:rPr>
                <w:rFonts w:ascii="Arial" w:hAnsi="Arial"/>
                <w:b w:val="0"/>
                <w:sz w:val="17"/>
              </w:rPr>
              <w:t>0.15</w:t>
            </w:r>
          </w:p>
        </w:tc>
      </w:tr>
      <w:tr>
        <w:tc>
          <w:tcPr>
            <w:tcW w:type="dxa" w:w="3312"/>
            <w:vAlign w:val="center"/>
          </w:tcPr>
          <w:p>
            <w:pPr>
              <w:spacing w:after="0"/>
            </w:pPr>
            <w:r/>
            <w:r>
              <w:rPr>
                <w:rFonts w:ascii="Arial" w:hAnsi="Arial"/>
                <w:b w:val="0"/>
                <w:sz w:val="17"/>
              </w:rPr>
              <w:t>Average order value</w:t>
            </w:r>
          </w:p>
        </w:tc>
        <w:tc>
          <w:tcPr>
            <w:tcW w:type="dxa" w:w="3312"/>
            <w:vAlign w:val="center"/>
          </w:tcPr>
          <w:p>
            <w:pPr>
              <w:spacing w:after="0"/>
            </w:pPr>
            <w:r/>
            <w:r>
              <w:rPr>
                <w:rFonts w:ascii="Arial" w:hAnsi="Arial"/>
                <w:b w:val="0"/>
                <w:sz w:val="17"/>
              </w:rPr>
              <w:t>250.47</w:t>
            </w:r>
          </w:p>
        </w:tc>
        <w:tc>
          <w:tcPr>
            <w:tcW w:type="dxa" w:w="3312"/>
            <w:vAlign w:val="center"/>
          </w:tcPr>
          <w:p>
            <w:pPr>
              <w:spacing w:after="0"/>
            </w:pPr>
            <w:r/>
            <w:r>
              <w:rPr>
                <w:rFonts w:ascii="Arial" w:hAnsi="Arial"/>
                <w:b w:val="0"/>
                <w:sz w:val="17"/>
              </w:rPr>
              <w:t>251.10</w:t>
            </w:r>
          </w:p>
        </w:tc>
      </w:tr>
    </w:tbl>
    <w:p/>
    <w:p>
      <w:r>
        <w:t>The activity label is defined by recency: customers with a last-purchase recency of 365 days or less are Active; those above 365 days are Inactive. It is a practical inactivity proxy, not a validated prediction of churn or customer intent. The 56.09% inactive share and 68.79% one-time-buyer share suggest opportunities to test reactivation and second-purchase interventions. Active customers show higher mean frequency, monetary value, quantity and profit in the supplied summary. Average order value is similar between groups, so retention work may be more focused on purchase frequency than on increasing basket value alone.</w:t>
      </w:r>
    </w:p>
    <w:p>
      <w:pPr>
        <w:pStyle w:val="Heading2"/>
      </w:pPr>
      <w:r>
        <w:t>5.6 Statistical testing: Active versus inactive customers</w:t>
      </w:r>
    </w:p>
    <w:p>
      <w:r>
        <w:t>Six Mann–Whitney U tests were performed to compare active and inactive customer groups. The test is a non-parametric method for comparing independent samples and is suitable for skewed data when the analysis is focused on differences in rank distributions. The null hypothesis for each metric was that the two groups have the same distribution/location; the alternative was that they differ. A two-sided significance threshold of α = .05 was used.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Arial" w:hAnsi="Arial"/>
                <w:b/>
                <w:sz w:val="17"/>
              </w:rPr>
              <w:t>Metric</w:t>
            </w:r>
          </w:p>
        </w:tc>
        <w:tc>
          <w:tcPr>
            <w:tcW w:type="dxa" w:w="1987"/>
            <w:vAlign w:val="center"/>
            <w:shd w:fill="D9EAF7"/>
          </w:tcPr>
          <w:p>
            <w:pPr>
              <w:spacing w:after="0"/>
            </w:pPr>
            <w:r/>
            <w:r>
              <w:rPr>
                <w:rFonts w:ascii="Arial" w:hAnsi="Arial"/>
                <w:b/>
                <w:sz w:val="17"/>
              </w:rPr>
              <w:t>Active median</w:t>
            </w:r>
          </w:p>
        </w:tc>
        <w:tc>
          <w:tcPr>
            <w:tcW w:type="dxa" w:w="1987"/>
            <w:vAlign w:val="center"/>
            <w:shd w:fill="D9EAF7"/>
          </w:tcPr>
          <w:p>
            <w:pPr>
              <w:spacing w:after="0"/>
            </w:pPr>
            <w:r/>
            <w:r>
              <w:rPr>
                <w:rFonts w:ascii="Arial" w:hAnsi="Arial"/>
                <w:b/>
                <w:sz w:val="17"/>
              </w:rPr>
              <w:t>Inactive median</w:t>
            </w:r>
          </w:p>
        </w:tc>
        <w:tc>
          <w:tcPr>
            <w:tcW w:type="dxa" w:w="1987"/>
            <w:vAlign w:val="center"/>
            <w:shd w:fill="D9EAF7"/>
          </w:tcPr>
          <w:p>
            <w:pPr>
              <w:spacing w:after="0"/>
            </w:pPr>
            <w:r/>
            <w:r>
              <w:rPr>
                <w:rFonts w:ascii="Arial" w:hAnsi="Arial"/>
                <w:b/>
                <w:sz w:val="17"/>
              </w:rPr>
              <w:t>U statistic</w:t>
            </w:r>
          </w:p>
        </w:tc>
        <w:tc>
          <w:tcPr>
            <w:tcW w:type="dxa" w:w="1987"/>
            <w:vAlign w:val="center"/>
            <w:shd w:fill="D9EAF7"/>
          </w:tcPr>
          <w:p>
            <w:pPr>
              <w:spacing w:after="0"/>
            </w:pPr>
            <w:r/>
            <w:r>
              <w:rPr>
                <w:rFonts w:ascii="Arial" w:hAnsi="Arial"/>
                <w:b/>
                <w:sz w:val="17"/>
              </w:rPr>
              <w:t>Reported p-value</w:t>
            </w:r>
          </w:p>
        </w:tc>
      </w:tr>
      <w:tr>
        <w:tc>
          <w:tcPr>
            <w:tcW w:type="dxa" w:w="1987"/>
            <w:vAlign w:val="center"/>
          </w:tcPr>
          <w:p>
            <w:pPr>
              <w:spacing w:after="0"/>
            </w:pPr>
            <w:r/>
            <w:r>
              <w:rPr>
                <w:rFonts w:ascii="Arial" w:hAnsi="Arial"/>
                <w:b w:val="0"/>
                <w:sz w:val="17"/>
              </w:rPr>
              <w:t>Frequency</w:t>
            </w:r>
          </w:p>
        </w:tc>
        <w:tc>
          <w:tcPr>
            <w:tcW w:type="dxa" w:w="1987"/>
            <w:vAlign w:val="center"/>
          </w:tcPr>
          <w:p>
            <w:pPr>
              <w:spacing w:after="0"/>
            </w:pPr>
            <w:r/>
            <w:r>
              <w:rPr>
                <w:rFonts w:ascii="Arial" w:hAnsi="Arial"/>
                <w:b w:val="0"/>
                <w:sz w:val="17"/>
              </w:rPr>
              <w:t>1.00</w:t>
            </w:r>
          </w:p>
        </w:tc>
        <w:tc>
          <w:tcPr>
            <w:tcW w:type="dxa" w:w="1987"/>
            <w:vAlign w:val="center"/>
          </w:tcPr>
          <w:p>
            <w:pPr>
              <w:spacing w:after="0"/>
            </w:pPr>
            <w:r/>
            <w:r>
              <w:rPr>
                <w:rFonts w:ascii="Arial" w:hAnsi="Arial"/>
                <w:b w:val="0"/>
                <w:sz w:val="17"/>
              </w:rPr>
              <w:t>1.00</w:t>
            </w:r>
          </w:p>
        </w:tc>
        <w:tc>
          <w:tcPr>
            <w:tcW w:type="dxa" w:w="1987"/>
            <w:vAlign w:val="center"/>
          </w:tcPr>
          <w:p>
            <w:pPr>
              <w:spacing w:after="0"/>
            </w:pPr>
            <w:r/>
            <w:r>
              <w:rPr>
                <w:rFonts w:ascii="Arial" w:hAnsi="Arial"/>
                <w:b w:val="0"/>
                <w:sz w:val="17"/>
              </w:rPr>
              <w:t>47,359,431.0</w:t>
            </w:r>
          </w:p>
        </w:tc>
        <w:tc>
          <w:tcPr>
            <w:tcW w:type="dxa" w:w="1987"/>
            <w:vAlign w:val="center"/>
          </w:tcPr>
          <w:p>
            <w:pPr>
              <w:spacing w:after="0"/>
            </w:pPr>
            <w:r/>
            <w:r>
              <w:rPr>
                <w:rFonts w:ascii="Arial" w:hAnsi="Arial"/>
                <w:b w:val="0"/>
                <w:sz w:val="17"/>
              </w:rPr>
              <w:t>&lt; .001</w:t>
            </w:r>
          </w:p>
        </w:tc>
      </w:tr>
      <w:tr>
        <w:tc>
          <w:tcPr>
            <w:tcW w:type="dxa" w:w="1987"/>
            <w:vAlign w:val="center"/>
          </w:tcPr>
          <w:p>
            <w:pPr>
              <w:spacing w:after="0"/>
            </w:pPr>
            <w:r/>
            <w:r>
              <w:rPr>
                <w:rFonts w:ascii="Arial" w:hAnsi="Arial"/>
                <w:b w:val="0"/>
                <w:sz w:val="17"/>
              </w:rPr>
              <w:t>Monetary</w:t>
            </w:r>
          </w:p>
        </w:tc>
        <w:tc>
          <w:tcPr>
            <w:tcW w:type="dxa" w:w="1987"/>
            <w:vAlign w:val="center"/>
          </w:tcPr>
          <w:p>
            <w:pPr>
              <w:spacing w:after="0"/>
            </w:pPr>
            <w:r/>
            <w:r>
              <w:rPr>
                <w:rFonts w:ascii="Arial" w:hAnsi="Arial"/>
                <w:b w:val="0"/>
                <w:sz w:val="17"/>
              </w:rPr>
              <w:t>212.00</w:t>
            </w:r>
          </w:p>
        </w:tc>
        <w:tc>
          <w:tcPr>
            <w:tcW w:type="dxa" w:w="1987"/>
            <w:vAlign w:val="center"/>
          </w:tcPr>
          <w:p>
            <w:pPr>
              <w:spacing w:after="0"/>
            </w:pPr>
            <w:r/>
            <w:r>
              <w:rPr>
                <w:rFonts w:ascii="Arial" w:hAnsi="Arial"/>
                <w:b w:val="0"/>
                <w:sz w:val="17"/>
              </w:rPr>
              <w:t>144.00</w:t>
            </w:r>
          </w:p>
        </w:tc>
        <w:tc>
          <w:tcPr>
            <w:tcW w:type="dxa" w:w="1987"/>
            <w:vAlign w:val="center"/>
          </w:tcPr>
          <w:p>
            <w:pPr>
              <w:spacing w:after="0"/>
            </w:pPr>
            <w:r/>
            <w:r>
              <w:rPr>
                <w:rFonts w:ascii="Arial" w:hAnsi="Arial"/>
                <w:b w:val="0"/>
                <w:sz w:val="17"/>
              </w:rPr>
              <w:t>42,647,513.5</w:t>
            </w:r>
          </w:p>
        </w:tc>
        <w:tc>
          <w:tcPr>
            <w:tcW w:type="dxa" w:w="1987"/>
            <w:vAlign w:val="center"/>
          </w:tcPr>
          <w:p>
            <w:pPr>
              <w:spacing w:after="0"/>
            </w:pPr>
            <w:r/>
            <w:r>
              <w:rPr>
                <w:rFonts w:ascii="Arial" w:hAnsi="Arial"/>
                <w:b w:val="0"/>
                <w:sz w:val="17"/>
              </w:rPr>
              <w:t>&lt; .001</w:t>
            </w:r>
          </w:p>
        </w:tc>
      </w:tr>
      <w:tr>
        <w:tc>
          <w:tcPr>
            <w:tcW w:type="dxa" w:w="1987"/>
            <w:vAlign w:val="center"/>
          </w:tcPr>
          <w:p>
            <w:pPr>
              <w:spacing w:after="0"/>
            </w:pPr>
            <w:r/>
            <w:r>
              <w:rPr>
                <w:rFonts w:ascii="Arial" w:hAnsi="Arial"/>
                <w:b w:val="0"/>
                <w:sz w:val="17"/>
              </w:rPr>
              <w:t>Total quantity</w:t>
            </w:r>
          </w:p>
        </w:tc>
        <w:tc>
          <w:tcPr>
            <w:tcW w:type="dxa" w:w="1987"/>
            <w:vAlign w:val="center"/>
          </w:tcPr>
          <w:p>
            <w:pPr>
              <w:spacing w:after="0"/>
            </w:pPr>
            <w:r/>
            <w:r>
              <w:rPr>
                <w:rFonts w:ascii="Arial" w:hAnsi="Arial"/>
                <w:b w:val="0"/>
                <w:sz w:val="17"/>
              </w:rPr>
              <w:t>11.00</w:t>
            </w:r>
          </w:p>
        </w:tc>
        <w:tc>
          <w:tcPr>
            <w:tcW w:type="dxa" w:w="1987"/>
            <w:vAlign w:val="center"/>
          </w:tcPr>
          <w:p>
            <w:pPr>
              <w:spacing w:after="0"/>
            </w:pPr>
            <w:r/>
            <w:r>
              <w:rPr>
                <w:rFonts w:ascii="Arial" w:hAnsi="Arial"/>
                <w:b w:val="0"/>
                <w:sz w:val="17"/>
              </w:rPr>
              <w:t>8.00</w:t>
            </w:r>
          </w:p>
        </w:tc>
        <w:tc>
          <w:tcPr>
            <w:tcW w:type="dxa" w:w="1987"/>
            <w:vAlign w:val="center"/>
          </w:tcPr>
          <w:p>
            <w:pPr>
              <w:spacing w:after="0"/>
            </w:pPr>
            <w:r/>
            <w:r>
              <w:rPr>
                <w:rFonts w:ascii="Arial" w:hAnsi="Arial"/>
                <w:b w:val="0"/>
                <w:sz w:val="17"/>
              </w:rPr>
              <w:t>43,139,228.0</w:t>
            </w:r>
          </w:p>
        </w:tc>
        <w:tc>
          <w:tcPr>
            <w:tcW w:type="dxa" w:w="1987"/>
            <w:vAlign w:val="center"/>
          </w:tcPr>
          <w:p>
            <w:pPr>
              <w:spacing w:after="0"/>
            </w:pPr>
            <w:r/>
            <w:r>
              <w:rPr>
                <w:rFonts w:ascii="Arial" w:hAnsi="Arial"/>
                <w:b w:val="0"/>
                <w:sz w:val="17"/>
              </w:rPr>
              <w:t>&lt; .001</w:t>
            </w:r>
          </w:p>
        </w:tc>
      </w:tr>
      <w:tr>
        <w:tc>
          <w:tcPr>
            <w:tcW w:type="dxa" w:w="1987"/>
            <w:vAlign w:val="center"/>
          </w:tcPr>
          <w:p>
            <w:pPr>
              <w:spacing w:after="0"/>
            </w:pPr>
            <w:r/>
            <w:r>
              <w:rPr>
                <w:rFonts w:ascii="Arial" w:hAnsi="Arial"/>
                <w:b w:val="0"/>
                <w:sz w:val="17"/>
              </w:rPr>
              <w:t>Total profit</w:t>
            </w:r>
          </w:p>
        </w:tc>
        <w:tc>
          <w:tcPr>
            <w:tcW w:type="dxa" w:w="1987"/>
            <w:vAlign w:val="center"/>
          </w:tcPr>
          <w:p>
            <w:pPr>
              <w:spacing w:after="0"/>
            </w:pPr>
            <w:r/>
            <w:r>
              <w:rPr>
                <w:rFonts w:ascii="Arial" w:hAnsi="Arial"/>
                <w:b w:val="0"/>
                <w:sz w:val="17"/>
              </w:rPr>
              <w:t>24.164</w:t>
            </w:r>
          </w:p>
        </w:tc>
        <w:tc>
          <w:tcPr>
            <w:tcW w:type="dxa" w:w="1987"/>
            <w:vAlign w:val="center"/>
          </w:tcPr>
          <w:p>
            <w:pPr>
              <w:spacing w:after="0"/>
            </w:pPr>
            <w:r/>
            <w:r>
              <w:rPr>
                <w:rFonts w:ascii="Arial" w:hAnsi="Arial"/>
                <w:b w:val="0"/>
                <w:sz w:val="17"/>
              </w:rPr>
              <w:t>19.85</w:t>
            </w:r>
          </w:p>
        </w:tc>
        <w:tc>
          <w:tcPr>
            <w:tcW w:type="dxa" w:w="1987"/>
            <w:vAlign w:val="center"/>
          </w:tcPr>
          <w:p>
            <w:pPr>
              <w:spacing w:after="0"/>
            </w:pPr>
            <w:r/>
            <w:r>
              <w:rPr>
                <w:rFonts w:ascii="Arial" w:hAnsi="Arial"/>
                <w:b w:val="0"/>
                <w:sz w:val="17"/>
              </w:rPr>
              <w:t>38,544,338.0</w:t>
            </w:r>
          </w:p>
        </w:tc>
        <w:tc>
          <w:tcPr>
            <w:tcW w:type="dxa" w:w="1987"/>
            <w:vAlign w:val="center"/>
          </w:tcPr>
          <w:p>
            <w:pPr>
              <w:spacing w:after="0"/>
            </w:pPr>
            <w:r/>
            <w:r>
              <w:rPr>
                <w:rFonts w:ascii="Arial" w:hAnsi="Arial"/>
                <w:b w:val="0"/>
                <w:sz w:val="17"/>
              </w:rPr>
              <w:t>0.000279</w:t>
            </w:r>
          </w:p>
        </w:tc>
      </w:tr>
      <w:tr>
        <w:tc>
          <w:tcPr>
            <w:tcW w:type="dxa" w:w="1987"/>
            <w:vAlign w:val="center"/>
          </w:tcPr>
          <w:p>
            <w:pPr>
              <w:spacing w:after="0"/>
            </w:pPr>
            <w:r/>
            <w:r>
              <w:rPr>
                <w:rFonts w:ascii="Arial" w:hAnsi="Arial"/>
                <w:b w:val="0"/>
                <w:sz w:val="17"/>
              </w:rPr>
              <w:t>Average discount</w:t>
            </w:r>
          </w:p>
        </w:tc>
        <w:tc>
          <w:tcPr>
            <w:tcW w:type="dxa" w:w="1987"/>
            <w:vAlign w:val="center"/>
          </w:tcPr>
          <w:p>
            <w:pPr>
              <w:spacing w:after="0"/>
            </w:pPr>
            <w:r/>
            <w:r>
              <w:rPr>
                <w:rFonts w:ascii="Arial" w:hAnsi="Arial"/>
                <w:b w:val="0"/>
                <w:sz w:val="17"/>
              </w:rPr>
              <w:t>0.05</w:t>
            </w:r>
          </w:p>
        </w:tc>
        <w:tc>
          <w:tcPr>
            <w:tcW w:type="dxa" w:w="1987"/>
            <w:vAlign w:val="center"/>
          </w:tcPr>
          <w:p>
            <w:pPr>
              <w:spacing w:after="0"/>
            </w:pPr>
            <w:r/>
            <w:r>
              <w:rPr>
                <w:rFonts w:ascii="Arial" w:hAnsi="Arial"/>
                <w:b w:val="0"/>
                <w:sz w:val="17"/>
              </w:rPr>
              <w:t>0.00</w:t>
            </w:r>
          </w:p>
        </w:tc>
        <w:tc>
          <w:tcPr>
            <w:tcW w:type="dxa" w:w="1987"/>
            <w:vAlign w:val="center"/>
          </w:tcPr>
          <w:p>
            <w:pPr>
              <w:spacing w:after="0"/>
            </w:pPr>
            <w:r/>
            <w:r>
              <w:rPr>
                <w:rFonts w:ascii="Arial" w:hAnsi="Arial"/>
                <w:b w:val="0"/>
                <w:sz w:val="17"/>
              </w:rPr>
              <w:t>39,170,399.0</w:t>
            </w:r>
          </w:p>
        </w:tc>
        <w:tc>
          <w:tcPr>
            <w:tcW w:type="dxa" w:w="1987"/>
            <w:vAlign w:val="center"/>
          </w:tcPr>
          <w:p>
            <w:pPr>
              <w:spacing w:after="0"/>
            </w:pPr>
            <w:r/>
            <w:r>
              <w:rPr>
                <w:rFonts w:ascii="Arial" w:hAnsi="Arial"/>
                <w:b w:val="0"/>
                <w:sz w:val="17"/>
              </w:rPr>
              <w:t>&lt; .001</w:t>
            </w:r>
          </w:p>
        </w:tc>
      </w:tr>
      <w:tr>
        <w:tc>
          <w:tcPr>
            <w:tcW w:type="dxa" w:w="1987"/>
            <w:vAlign w:val="center"/>
          </w:tcPr>
          <w:p>
            <w:pPr>
              <w:spacing w:after="0"/>
            </w:pPr>
            <w:r/>
            <w:r>
              <w:rPr>
                <w:rFonts w:ascii="Arial" w:hAnsi="Arial"/>
                <w:b w:val="0"/>
                <w:sz w:val="17"/>
              </w:rPr>
              <w:t>Average order value</w:t>
            </w:r>
          </w:p>
        </w:tc>
        <w:tc>
          <w:tcPr>
            <w:tcW w:type="dxa" w:w="1987"/>
            <w:vAlign w:val="center"/>
          </w:tcPr>
          <w:p>
            <w:pPr>
              <w:spacing w:after="0"/>
            </w:pPr>
            <w:r/>
            <w:r>
              <w:rPr>
                <w:rFonts w:ascii="Arial" w:hAnsi="Arial"/>
                <w:b w:val="0"/>
                <w:sz w:val="17"/>
              </w:rPr>
              <w:t>131.50</w:t>
            </w:r>
          </w:p>
        </w:tc>
        <w:tc>
          <w:tcPr>
            <w:tcW w:type="dxa" w:w="1987"/>
            <w:vAlign w:val="center"/>
          </w:tcPr>
          <w:p>
            <w:pPr>
              <w:spacing w:after="0"/>
            </w:pPr>
            <w:r/>
            <w:r>
              <w:rPr>
                <w:rFonts w:ascii="Arial" w:hAnsi="Arial"/>
                <w:b w:val="0"/>
                <w:sz w:val="17"/>
              </w:rPr>
              <w:t>123.00</w:t>
            </w:r>
          </w:p>
        </w:tc>
        <w:tc>
          <w:tcPr>
            <w:tcW w:type="dxa" w:w="1987"/>
            <w:vAlign w:val="center"/>
          </w:tcPr>
          <w:p>
            <w:pPr>
              <w:spacing w:after="0"/>
            </w:pPr>
            <w:r/>
            <w:r>
              <w:rPr>
                <w:rFonts w:ascii="Arial" w:hAnsi="Arial"/>
                <w:b w:val="0"/>
                <w:sz w:val="17"/>
              </w:rPr>
              <w:t>38,684,567.0</w:t>
            </w:r>
          </w:p>
        </w:tc>
        <w:tc>
          <w:tcPr>
            <w:tcW w:type="dxa" w:w="1987"/>
            <w:vAlign w:val="center"/>
          </w:tcPr>
          <w:p>
            <w:pPr>
              <w:spacing w:after="0"/>
            </w:pPr>
            <w:r/>
            <w:r>
              <w:rPr>
                <w:rFonts w:ascii="Arial" w:hAnsi="Arial"/>
                <w:b w:val="0"/>
                <w:sz w:val="17"/>
              </w:rPr>
              <w:t>0.000049</w:t>
            </w:r>
          </w:p>
        </w:tc>
      </w:tr>
    </w:tbl>
    <w:p/>
    <w:p>
      <w:r>
        <w:t>All six p-values are below .05, so the null hypothesis is rejected for each metric at the selected threshold. Values displayed as 0.000000 in the notebook are rounded small numbers, not literal zero probabilities; they are reported here as p &lt; .001 where appropriate. Median differences are evident for Monetary, Total quantity, Total profit, Average discount and Average order value. Frequency medians are both 1.00 despite a significant test, which can happen when distributions contain many tied/low values and differ elsewhere in their ranks.</w:t>
      </w:r>
    </w:p>
    <w:p>
      <w:r>
        <w:t>Caution: statistical significance is not the same as business importance, particularly with thousands of customers. Effect sizes and confidence intervals should be added in a later revision, and a multiple-testing correction was not applied to this set of six tests. The activity definition itself is based on recency, so the group comparison is descriptive and should not be interpreted as independent proof that inactivity causes lower spending.</w:t>
      </w:r>
    </w:p>
    <w:p>
      <w:pPr>
        <w:pStyle w:val="Heading1"/>
      </w:pPr>
      <w:r>
        <w:t>6. Feature Engineering</w:t>
      </w:r>
    </w:p>
    <w:p>
      <w:pPr>
        <w:pStyle w:val="Heading2"/>
      </w:pPr>
      <w:r>
        <w:t>6.1 Customer-level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rial" w:hAnsi="Arial"/>
                <w:b/>
                <w:sz w:val="17"/>
              </w:rPr>
              <w:t>Feature</w:t>
            </w:r>
          </w:p>
        </w:tc>
        <w:tc>
          <w:tcPr>
            <w:tcW w:type="dxa" w:w="4968"/>
            <w:vAlign w:val="center"/>
            <w:shd w:fill="D9EAF7"/>
          </w:tcPr>
          <w:p>
            <w:pPr>
              <w:spacing w:after="0"/>
            </w:pPr>
            <w:r/>
            <w:r>
              <w:rPr>
                <w:rFonts w:ascii="Arial" w:hAnsi="Arial"/>
                <w:b/>
                <w:sz w:val="17"/>
              </w:rPr>
              <w:t>Definition / use</w:t>
            </w:r>
          </w:p>
        </w:tc>
      </w:tr>
      <w:tr>
        <w:tc>
          <w:tcPr>
            <w:tcW w:type="dxa" w:w="4968"/>
            <w:vAlign w:val="center"/>
          </w:tcPr>
          <w:p>
            <w:pPr>
              <w:spacing w:after="0"/>
            </w:pPr>
            <w:r/>
            <w:r>
              <w:rPr>
                <w:rFonts w:ascii="Arial" w:hAnsi="Arial"/>
                <w:b w:val="0"/>
                <w:sz w:val="17"/>
              </w:rPr>
              <w:t>Recency</w:t>
            </w:r>
          </w:p>
        </w:tc>
        <w:tc>
          <w:tcPr>
            <w:tcW w:type="dxa" w:w="4968"/>
            <w:vAlign w:val="center"/>
          </w:tcPr>
          <w:p>
            <w:pPr>
              <w:spacing w:after="0"/>
            </w:pPr>
            <w:r/>
            <w:r>
              <w:rPr>
                <w:rFonts w:ascii="Arial" w:hAnsi="Arial"/>
                <w:b w:val="0"/>
                <w:sz w:val="17"/>
              </w:rPr>
              <w:t>Days since the customer's latest observed purchase; lower values indicate more recent activity.</w:t>
            </w:r>
          </w:p>
        </w:tc>
      </w:tr>
      <w:tr>
        <w:tc>
          <w:tcPr>
            <w:tcW w:type="dxa" w:w="4968"/>
            <w:vAlign w:val="center"/>
          </w:tcPr>
          <w:p>
            <w:pPr>
              <w:spacing w:after="0"/>
            </w:pPr>
            <w:r/>
            <w:r>
              <w:rPr>
                <w:rFonts w:ascii="Arial" w:hAnsi="Arial"/>
                <w:b w:val="0"/>
                <w:sz w:val="17"/>
              </w:rPr>
              <w:t>Frequency</w:t>
            </w:r>
          </w:p>
        </w:tc>
        <w:tc>
          <w:tcPr>
            <w:tcW w:type="dxa" w:w="4968"/>
            <w:vAlign w:val="center"/>
          </w:tcPr>
          <w:p>
            <w:pPr>
              <w:spacing w:after="0"/>
            </w:pPr>
            <w:r/>
            <w:r>
              <w:rPr>
                <w:rFonts w:ascii="Arial" w:hAnsi="Arial"/>
                <w:b w:val="0"/>
                <w:sz w:val="17"/>
              </w:rPr>
              <w:t>Number of distinct orders associated with the customer.</w:t>
            </w:r>
          </w:p>
        </w:tc>
      </w:tr>
      <w:tr>
        <w:tc>
          <w:tcPr>
            <w:tcW w:type="dxa" w:w="4968"/>
            <w:vAlign w:val="center"/>
          </w:tcPr>
          <w:p>
            <w:pPr>
              <w:spacing w:after="0"/>
            </w:pPr>
            <w:r/>
            <w:r>
              <w:rPr>
                <w:rFonts w:ascii="Arial" w:hAnsi="Arial"/>
                <w:b w:val="0"/>
                <w:sz w:val="17"/>
              </w:rPr>
              <w:t>Monetary</w:t>
            </w:r>
          </w:p>
        </w:tc>
        <w:tc>
          <w:tcPr>
            <w:tcW w:type="dxa" w:w="4968"/>
            <w:vAlign w:val="center"/>
          </w:tcPr>
          <w:p>
            <w:pPr>
              <w:spacing w:after="0"/>
            </w:pPr>
            <w:r/>
            <w:r>
              <w:rPr>
                <w:rFonts w:ascii="Arial" w:hAnsi="Arial"/>
                <w:b w:val="0"/>
                <w:sz w:val="17"/>
              </w:rPr>
              <w:t>Aggregated customer sales value in the source feature pipeline.</w:t>
            </w:r>
          </w:p>
        </w:tc>
      </w:tr>
      <w:tr>
        <w:tc>
          <w:tcPr>
            <w:tcW w:type="dxa" w:w="4968"/>
            <w:vAlign w:val="center"/>
          </w:tcPr>
          <w:p>
            <w:pPr>
              <w:spacing w:after="0"/>
            </w:pPr>
            <w:r/>
            <w:r>
              <w:rPr>
                <w:rFonts w:ascii="Arial" w:hAnsi="Arial"/>
                <w:b w:val="0"/>
                <w:sz w:val="17"/>
              </w:rPr>
              <w:t>Total_Quantity</w:t>
            </w:r>
          </w:p>
        </w:tc>
        <w:tc>
          <w:tcPr>
            <w:tcW w:type="dxa" w:w="4968"/>
            <w:vAlign w:val="center"/>
          </w:tcPr>
          <w:p>
            <w:pPr>
              <w:spacing w:after="0"/>
            </w:pPr>
            <w:r/>
            <w:r>
              <w:rPr>
                <w:rFonts w:ascii="Arial" w:hAnsi="Arial"/>
                <w:b w:val="0"/>
                <w:sz w:val="17"/>
              </w:rPr>
              <w:t>Total quantity across the customer's observed transaction lines.</w:t>
            </w:r>
          </w:p>
        </w:tc>
      </w:tr>
      <w:tr>
        <w:tc>
          <w:tcPr>
            <w:tcW w:type="dxa" w:w="4968"/>
            <w:vAlign w:val="center"/>
          </w:tcPr>
          <w:p>
            <w:pPr>
              <w:spacing w:after="0"/>
            </w:pPr>
            <w:r/>
            <w:r>
              <w:rPr>
                <w:rFonts w:ascii="Arial" w:hAnsi="Arial"/>
                <w:b w:val="0"/>
                <w:sz w:val="17"/>
              </w:rPr>
              <w:t>Total_Profit</w:t>
            </w:r>
          </w:p>
        </w:tc>
        <w:tc>
          <w:tcPr>
            <w:tcW w:type="dxa" w:w="4968"/>
            <w:vAlign w:val="center"/>
          </w:tcPr>
          <w:p>
            <w:pPr>
              <w:spacing w:after="0"/>
            </w:pPr>
            <w:r/>
            <w:r>
              <w:rPr>
                <w:rFonts w:ascii="Arial" w:hAnsi="Arial"/>
                <w:b w:val="0"/>
                <w:sz w:val="17"/>
              </w:rPr>
              <w:t>Aggregated profit across the customer's observed transaction lines.</w:t>
            </w:r>
          </w:p>
        </w:tc>
      </w:tr>
      <w:tr>
        <w:tc>
          <w:tcPr>
            <w:tcW w:type="dxa" w:w="4968"/>
            <w:vAlign w:val="center"/>
          </w:tcPr>
          <w:p>
            <w:pPr>
              <w:spacing w:after="0"/>
            </w:pPr>
            <w:r/>
            <w:r>
              <w:rPr>
                <w:rFonts w:ascii="Arial" w:hAnsi="Arial"/>
                <w:b w:val="0"/>
                <w:sz w:val="17"/>
              </w:rPr>
              <w:t>Avg_Discount</w:t>
            </w:r>
          </w:p>
        </w:tc>
        <w:tc>
          <w:tcPr>
            <w:tcW w:type="dxa" w:w="4968"/>
            <w:vAlign w:val="center"/>
          </w:tcPr>
          <w:p>
            <w:pPr>
              <w:spacing w:after="0"/>
            </w:pPr>
            <w:r/>
            <w:r>
              <w:rPr>
                <w:rFonts w:ascii="Arial" w:hAnsi="Arial"/>
                <w:b w:val="0"/>
                <w:sz w:val="17"/>
              </w:rPr>
              <w:t>Average discount across observed transaction lines.</w:t>
            </w:r>
          </w:p>
        </w:tc>
      </w:tr>
      <w:tr>
        <w:tc>
          <w:tcPr>
            <w:tcW w:type="dxa" w:w="4968"/>
            <w:vAlign w:val="center"/>
          </w:tcPr>
          <w:p>
            <w:pPr>
              <w:spacing w:after="0"/>
            </w:pPr>
            <w:r/>
            <w:r>
              <w:rPr>
                <w:rFonts w:ascii="Arial" w:hAnsi="Arial"/>
                <w:b w:val="0"/>
                <w:sz w:val="17"/>
              </w:rPr>
              <w:t>Average_Order_Value</w:t>
            </w:r>
          </w:p>
        </w:tc>
        <w:tc>
          <w:tcPr>
            <w:tcW w:type="dxa" w:w="4968"/>
            <w:vAlign w:val="center"/>
          </w:tcPr>
          <w:p>
            <w:pPr>
              <w:spacing w:after="0"/>
            </w:pPr>
            <w:r/>
            <w:r>
              <w:rPr>
                <w:rFonts w:ascii="Arial" w:hAnsi="Arial"/>
                <w:b w:val="0"/>
                <w:sz w:val="17"/>
              </w:rPr>
              <w:t>Customer-level average order value derived in the pipeline.</w:t>
            </w:r>
          </w:p>
        </w:tc>
      </w:tr>
      <w:tr>
        <w:tc>
          <w:tcPr>
            <w:tcW w:type="dxa" w:w="4968"/>
            <w:vAlign w:val="center"/>
          </w:tcPr>
          <w:p>
            <w:pPr>
              <w:spacing w:after="0"/>
            </w:pPr>
            <w:r/>
            <w:r>
              <w:rPr>
                <w:rFonts w:ascii="Arial" w:hAnsi="Arial"/>
                <w:b w:val="0"/>
                <w:sz w:val="17"/>
              </w:rPr>
              <w:t>Activity_Status</w:t>
            </w:r>
          </w:p>
        </w:tc>
        <w:tc>
          <w:tcPr>
            <w:tcW w:type="dxa" w:w="4968"/>
            <w:vAlign w:val="center"/>
          </w:tcPr>
          <w:p>
            <w:pPr>
              <w:spacing w:after="0"/>
            </w:pPr>
            <w:r/>
            <w:r>
              <w:rPr>
                <w:rFonts w:ascii="Arial" w:hAnsi="Arial"/>
                <w:b w:val="0"/>
                <w:sz w:val="17"/>
              </w:rPr>
              <w:t>Active if Recency ≤ 365 days; otherwise Inactive.</w:t>
            </w:r>
          </w:p>
        </w:tc>
      </w:tr>
      <w:tr>
        <w:tc>
          <w:tcPr>
            <w:tcW w:type="dxa" w:w="4968"/>
            <w:vAlign w:val="center"/>
          </w:tcPr>
          <w:p>
            <w:pPr>
              <w:spacing w:after="0"/>
            </w:pPr>
            <w:r/>
            <w:r>
              <w:rPr>
                <w:rFonts w:ascii="Arial" w:hAnsi="Arial"/>
                <w:b w:val="0"/>
                <w:sz w:val="17"/>
              </w:rPr>
              <w:t>Recency_Group</w:t>
            </w:r>
          </w:p>
        </w:tc>
        <w:tc>
          <w:tcPr>
            <w:tcW w:type="dxa" w:w="4968"/>
            <w:vAlign w:val="center"/>
          </w:tcPr>
          <w:p>
            <w:pPr>
              <w:spacing w:after="0"/>
            </w:pPr>
            <w:r/>
            <w:r>
              <w:rPr>
                <w:rFonts w:ascii="Arial" w:hAnsi="Arial"/>
                <w:b w:val="0"/>
                <w:sz w:val="17"/>
              </w:rPr>
              <w:t>Recent (0–90 days), Cooling (91–180), At Risk (181–365), Inactive (&gt;365).</w:t>
            </w:r>
          </w:p>
        </w:tc>
      </w:tr>
      <w:tr>
        <w:tc>
          <w:tcPr>
            <w:tcW w:type="dxa" w:w="4968"/>
            <w:vAlign w:val="center"/>
          </w:tcPr>
          <w:p>
            <w:pPr>
              <w:spacing w:after="0"/>
            </w:pPr>
            <w:r/>
            <w:r>
              <w:rPr>
                <w:rFonts w:ascii="Arial" w:hAnsi="Arial"/>
                <w:b w:val="0"/>
                <w:sz w:val="17"/>
              </w:rPr>
              <w:t>Frequency_Group</w:t>
            </w:r>
          </w:p>
        </w:tc>
        <w:tc>
          <w:tcPr>
            <w:tcW w:type="dxa" w:w="4968"/>
            <w:vAlign w:val="center"/>
          </w:tcPr>
          <w:p>
            <w:pPr>
              <w:spacing w:after="0"/>
            </w:pPr>
            <w:r/>
            <w:r>
              <w:rPr>
                <w:rFonts w:ascii="Arial" w:hAnsi="Arial"/>
                <w:b w:val="0"/>
                <w:sz w:val="17"/>
              </w:rPr>
              <w:t>One-time (≤1 order), Two orders, Frequent (3+ orders).</w:t>
            </w:r>
          </w:p>
        </w:tc>
      </w:tr>
      <w:tr>
        <w:tc>
          <w:tcPr>
            <w:tcW w:type="dxa" w:w="4968"/>
            <w:vAlign w:val="center"/>
          </w:tcPr>
          <w:p>
            <w:pPr>
              <w:spacing w:after="0"/>
            </w:pPr>
            <w:r/>
            <w:r>
              <w:rPr>
                <w:rFonts w:ascii="Arial" w:hAnsi="Arial"/>
                <w:b w:val="0"/>
                <w:sz w:val="17"/>
              </w:rPr>
              <w:t>Spending_Group</w:t>
            </w:r>
          </w:p>
        </w:tc>
        <w:tc>
          <w:tcPr>
            <w:tcW w:type="dxa" w:w="4968"/>
            <w:vAlign w:val="center"/>
          </w:tcPr>
          <w:p>
            <w:pPr>
              <w:spacing w:after="0"/>
            </w:pPr>
            <w:r/>
            <w:r>
              <w:rPr>
                <w:rFonts w:ascii="Arial" w:hAnsi="Arial"/>
                <w:b w:val="0"/>
                <w:sz w:val="17"/>
              </w:rPr>
              <w:t>Rank-based quartile groups labelled Low, Medium, High and Very High.</w:t>
            </w:r>
          </w:p>
        </w:tc>
      </w:tr>
    </w:tbl>
    <w:p/>
    <w:p>
      <w:r>
        <w:t>The resulting customer feature table contains 17,415 rows and 12 columns, with one unique row per customer, no duplicate rows and no missing values. Recency groups contained 2,814 Recent, 2,053 Cooling, 2,780 At Risk and 9,768 Inactive customers. Frequency groups contained 11,979 One-time, 3,467 Two orders and 1,969 Frequent customers. Spending quartiles were balanced at approximately 4,353–4,354 customers each because ranking was used before quartile assignment.</w:t>
      </w:r>
    </w:p>
    <w:p>
      <w:pPr>
        <w:pStyle w:val="Heading2"/>
      </w:pPr>
      <w:r>
        <w:t>6.2 Transaction-level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Feature</w:t>
            </w:r>
          </w:p>
        </w:tc>
        <w:tc>
          <w:tcPr>
            <w:tcW w:type="dxa" w:w="3312"/>
            <w:vAlign w:val="center"/>
            <w:shd w:fill="D9EAF7"/>
          </w:tcPr>
          <w:p>
            <w:pPr>
              <w:spacing w:after="0"/>
            </w:pPr>
            <w:r/>
            <w:r>
              <w:rPr>
                <w:rFonts w:ascii="Arial" w:hAnsi="Arial"/>
                <w:b/>
                <w:sz w:val="17"/>
              </w:rPr>
              <w:t>Definition</w:t>
            </w:r>
          </w:p>
        </w:tc>
        <w:tc>
          <w:tcPr>
            <w:tcW w:type="dxa" w:w="3312"/>
            <w:vAlign w:val="center"/>
            <w:shd w:fill="D9EAF7"/>
          </w:tcPr>
          <w:p>
            <w:pPr>
              <w:spacing w:after="0"/>
            </w:pPr>
            <w:r/>
            <w:r>
              <w:rPr>
                <w:rFonts w:ascii="Arial" w:hAnsi="Arial"/>
                <w:b/>
                <w:sz w:val="17"/>
              </w:rPr>
              <w:t>Potential analytical use</w:t>
            </w:r>
          </w:p>
        </w:tc>
      </w:tr>
      <w:tr>
        <w:tc>
          <w:tcPr>
            <w:tcW w:type="dxa" w:w="3312"/>
            <w:vAlign w:val="center"/>
          </w:tcPr>
          <w:p>
            <w:pPr>
              <w:spacing w:after="0"/>
            </w:pPr>
            <w:r/>
            <w:r>
              <w:rPr>
                <w:rFonts w:ascii="Arial" w:hAnsi="Arial"/>
                <w:b w:val="0"/>
                <w:sz w:val="17"/>
              </w:rPr>
              <w:t>Order_Month</w:t>
            </w:r>
          </w:p>
        </w:tc>
        <w:tc>
          <w:tcPr>
            <w:tcW w:type="dxa" w:w="3312"/>
            <w:vAlign w:val="center"/>
          </w:tcPr>
          <w:p>
            <w:pPr>
              <w:spacing w:after="0"/>
            </w:pPr>
            <w:r/>
            <w:r>
              <w:rPr>
                <w:rFonts w:ascii="Arial" w:hAnsi="Arial"/>
                <w:b w:val="0"/>
                <w:sz w:val="17"/>
              </w:rPr>
              <w:t>Month extracted from Order Date</w:t>
            </w:r>
          </w:p>
        </w:tc>
        <w:tc>
          <w:tcPr>
            <w:tcW w:type="dxa" w:w="3312"/>
            <w:vAlign w:val="center"/>
          </w:tcPr>
          <w:p>
            <w:pPr>
              <w:spacing w:after="0"/>
            </w:pPr>
            <w:r/>
            <w:r>
              <w:rPr>
                <w:rFonts w:ascii="Arial" w:hAnsi="Arial"/>
                <w:b w:val="0"/>
                <w:sz w:val="17"/>
              </w:rPr>
              <w:t>Monthly seasonality and campaign comparison.</w:t>
            </w:r>
          </w:p>
        </w:tc>
      </w:tr>
      <w:tr>
        <w:tc>
          <w:tcPr>
            <w:tcW w:type="dxa" w:w="3312"/>
            <w:vAlign w:val="center"/>
          </w:tcPr>
          <w:p>
            <w:pPr>
              <w:spacing w:after="0"/>
            </w:pPr>
            <w:r/>
            <w:r>
              <w:rPr>
                <w:rFonts w:ascii="Arial" w:hAnsi="Arial"/>
                <w:b w:val="0"/>
                <w:sz w:val="17"/>
              </w:rPr>
              <w:t>Order_Quarter</w:t>
            </w:r>
          </w:p>
        </w:tc>
        <w:tc>
          <w:tcPr>
            <w:tcW w:type="dxa" w:w="3312"/>
            <w:vAlign w:val="center"/>
          </w:tcPr>
          <w:p>
            <w:pPr>
              <w:spacing w:after="0"/>
            </w:pPr>
            <w:r/>
            <w:r>
              <w:rPr>
                <w:rFonts w:ascii="Arial" w:hAnsi="Arial"/>
                <w:b w:val="0"/>
                <w:sz w:val="17"/>
              </w:rPr>
              <w:t>Quarter extracted from Order Date</w:t>
            </w:r>
          </w:p>
        </w:tc>
        <w:tc>
          <w:tcPr>
            <w:tcW w:type="dxa" w:w="3312"/>
            <w:vAlign w:val="center"/>
          </w:tcPr>
          <w:p>
            <w:pPr>
              <w:spacing w:after="0"/>
            </w:pPr>
            <w:r/>
            <w:r>
              <w:rPr>
                <w:rFonts w:ascii="Arial" w:hAnsi="Arial"/>
                <w:b w:val="0"/>
                <w:sz w:val="17"/>
              </w:rPr>
              <w:t>Quarterly planning and performance monitoring.</w:t>
            </w:r>
          </w:p>
        </w:tc>
      </w:tr>
      <w:tr>
        <w:tc>
          <w:tcPr>
            <w:tcW w:type="dxa" w:w="3312"/>
            <w:vAlign w:val="center"/>
          </w:tcPr>
          <w:p>
            <w:pPr>
              <w:spacing w:after="0"/>
            </w:pPr>
            <w:r/>
            <w:r>
              <w:rPr>
                <w:rFonts w:ascii="Arial" w:hAnsi="Arial"/>
                <w:b w:val="0"/>
                <w:sz w:val="17"/>
              </w:rPr>
              <w:t>Order_Year</w:t>
            </w:r>
          </w:p>
        </w:tc>
        <w:tc>
          <w:tcPr>
            <w:tcW w:type="dxa" w:w="3312"/>
            <w:vAlign w:val="center"/>
          </w:tcPr>
          <w:p>
            <w:pPr>
              <w:spacing w:after="0"/>
            </w:pPr>
            <w:r/>
            <w:r>
              <w:rPr>
                <w:rFonts w:ascii="Arial" w:hAnsi="Arial"/>
                <w:b w:val="0"/>
                <w:sz w:val="17"/>
              </w:rPr>
              <w:t>Year extracted from Order Date</w:t>
            </w:r>
          </w:p>
        </w:tc>
        <w:tc>
          <w:tcPr>
            <w:tcW w:type="dxa" w:w="3312"/>
            <w:vAlign w:val="center"/>
          </w:tcPr>
          <w:p>
            <w:pPr>
              <w:spacing w:after="0"/>
            </w:pPr>
            <w:r/>
            <w:r>
              <w:rPr>
                <w:rFonts w:ascii="Arial" w:hAnsi="Arial"/>
                <w:b w:val="0"/>
                <w:sz w:val="17"/>
              </w:rPr>
              <w:t>Year-over-year comparisons.</w:t>
            </w:r>
          </w:p>
        </w:tc>
      </w:tr>
      <w:tr>
        <w:tc>
          <w:tcPr>
            <w:tcW w:type="dxa" w:w="3312"/>
            <w:vAlign w:val="center"/>
          </w:tcPr>
          <w:p>
            <w:pPr>
              <w:spacing w:after="0"/>
            </w:pPr>
            <w:r/>
            <w:r>
              <w:rPr>
                <w:rFonts w:ascii="Arial" w:hAnsi="Arial"/>
                <w:b w:val="0"/>
                <w:sz w:val="17"/>
              </w:rPr>
              <w:t>Profit_Margin_Pct</w:t>
            </w:r>
          </w:p>
        </w:tc>
        <w:tc>
          <w:tcPr>
            <w:tcW w:type="dxa" w:w="3312"/>
            <w:vAlign w:val="center"/>
          </w:tcPr>
          <w:p>
            <w:pPr>
              <w:spacing w:after="0"/>
            </w:pPr>
            <w:r/>
            <w:r>
              <w:rPr>
                <w:rFonts w:ascii="Arial" w:hAnsi="Arial"/>
                <w:b w:val="0"/>
                <w:sz w:val="17"/>
              </w:rPr>
              <w:t>(Profit / Sales) × 100</w:t>
            </w:r>
          </w:p>
        </w:tc>
        <w:tc>
          <w:tcPr>
            <w:tcW w:type="dxa" w:w="3312"/>
            <w:vAlign w:val="center"/>
          </w:tcPr>
          <w:p>
            <w:pPr>
              <w:spacing w:after="0"/>
            </w:pPr>
            <w:r/>
            <w:r>
              <w:rPr>
                <w:rFonts w:ascii="Arial" w:hAnsi="Arial"/>
                <w:b w:val="0"/>
                <w:sz w:val="17"/>
              </w:rPr>
              <w:t>Line-level margin diagnostics; review negative and extreme values.</w:t>
            </w:r>
          </w:p>
        </w:tc>
      </w:tr>
      <w:tr>
        <w:tc>
          <w:tcPr>
            <w:tcW w:type="dxa" w:w="3312"/>
            <w:vAlign w:val="center"/>
          </w:tcPr>
          <w:p>
            <w:pPr>
              <w:spacing w:after="0"/>
            </w:pPr>
            <w:r/>
            <w:r>
              <w:rPr>
                <w:rFonts w:ascii="Arial" w:hAnsi="Arial"/>
                <w:b w:val="0"/>
                <w:sz w:val="17"/>
              </w:rPr>
              <w:t>Sales_Per_Unit</w:t>
            </w:r>
          </w:p>
        </w:tc>
        <w:tc>
          <w:tcPr>
            <w:tcW w:type="dxa" w:w="3312"/>
            <w:vAlign w:val="center"/>
          </w:tcPr>
          <w:p>
            <w:pPr>
              <w:spacing w:after="0"/>
            </w:pPr>
            <w:r/>
            <w:r>
              <w:rPr>
                <w:rFonts w:ascii="Arial" w:hAnsi="Arial"/>
                <w:b w:val="0"/>
                <w:sz w:val="17"/>
              </w:rPr>
              <w:t>Sales / Quantity</w:t>
            </w:r>
          </w:p>
        </w:tc>
        <w:tc>
          <w:tcPr>
            <w:tcW w:type="dxa" w:w="3312"/>
            <w:vAlign w:val="center"/>
          </w:tcPr>
          <w:p>
            <w:pPr>
              <w:spacing w:after="0"/>
            </w:pPr>
            <w:r/>
            <w:r>
              <w:rPr>
                <w:rFonts w:ascii="Arial" w:hAnsi="Arial"/>
                <w:b w:val="0"/>
                <w:sz w:val="17"/>
              </w:rPr>
              <w:t>Approximate sales per unit for product/price comparisons.</w:t>
            </w:r>
          </w:p>
        </w:tc>
      </w:tr>
    </w:tbl>
    <w:p/>
    <w:p>
      <w:r>
        <w:t>The engineered transaction table contains 51,290 rows and 27 columns. Validation reported zero missing values, zero duplicate rows and no invalid profit-margin or sales-per-unit values. Since Sales is positive in the supplied descriptive statistics and Quantity ranges from 1 to 20, the divisions were valid for the observed data. Derived features should still be checked for extreme values and should not be used as predictors if they leak information from a target variable in a future predictive model.</w:t>
      </w:r>
    </w:p>
    <w:p>
      <w:pPr>
        <w:pStyle w:val="Heading1"/>
      </w:pPr>
      <w:r>
        <w:t>7. Correlation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7"/>
              </w:rPr>
              <w:t>Feature pair</w:t>
            </w:r>
          </w:p>
        </w:tc>
        <w:tc>
          <w:tcPr>
            <w:tcW w:type="dxa" w:w="3312"/>
            <w:vAlign w:val="center"/>
            <w:shd w:fill="D9EAF7"/>
          </w:tcPr>
          <w:p>
            <w:pPr>
              <w:spacing w:after="0"/>
            </w:pPr>
            <w:r/>
            <w:r>
              <w:rPr>
                <w:rFonts w:ascii="Arial" w:hAnsi="Arial"/>
                <w:b/>
                <w:sz w:val="17"/>
              </w:rPr>
              <w:t>Correlation (r)</w:t>
            </w:r>
          </w:p>
        </w:tc>
        <w:tc>
          <w:tcPr>
            <w:tcW w:type="dxa" w:w="3312"/>
            <w:vAlign w:val="center"/>
            <w:shd w:fill="D9EAF7"/>
          </w:tcPr>
          <w:p>
            <w:pPr>
              <w:spacing w:after="0"/>
            </w:pPr>
            <w:r/>
            <w:r>
              <w:rPr>
                <w:rFonts w:ascii="Arial" w:hAnsi="Arial"/>
                <w:b/>
                <w:sz w:val="17"/>
              </w:rPr>
              <w:t>Interpretation</w:t>
            </w:r>
          </w:p>
        </w:tc>
      </w:tr>
      <w:tr>
        <w:tc>
          <w:tcPr>
            <w:tcW w:type="dxa" w:w="3312"/>
            <w:vAlign w:val="center"/>
          </w:tcPr>
          <w:p>
            <w:pPr>
              <w:spacing w:after="0"/>
            </w:pPr>
            <w:r/>
            <w:r>
              <w:rPr>
                <w:rFonts w:ascii="Arial" w:hAnsi="Arial"/>
                <w:b w:val="0"/>
                <w:sz w:val="17"/>
              </w:rPr>
              <w:t>Sales – Sales_Per_Unit</w:t>
            </w:r>
          </w:p>
        </w:tc>
        <w:tc>
          <w:tcPr>
            <w:tcW w:type="dxa" w:w="3312"/>
            <w:vAlign w:val="center"/>
          </w:tcPr>
          <w:p>
            <w:pPr>
              <w:spacing w:after="0"/>
            </w:pPr>
            <w:r/>
            <w:r>
              <w:rPr>
                <w:rFonts w:ascii="Arial" w:hAnsi="Arial"/>
                <w:b w:val="0"/>
                <w:sz w:val="17"/>
              </w:rPr>
              <w:t>0.639</w:t>
            </w:r>
          </w:p>
        </w:tc>
        <w:tc>
          <w:tcPr>
            <w:tcW w:type="dxa" w:w="3312"/>
            <w:vAlign w:val="center"/>
          </w:tcPr>
          <w:p>
            <w:pPr>
              <w:spacing w:after="0"/>
            </w:pPr>
            <w:r/>
            <w:r>
              <w:rPr>
                <w:rFonts w:ascii="Arial" w:hAnsi="Arial"/>
                <w:b w:val="0"/>
                <w:sz w:val="17"/>
              </w:rPr>
              <w:t>Strongest positive correlation in the reported matrix.</w:t>
            </w:r>
          </w:p>
        </w:tc>
      </w:tr>
      <w:tr>
        <w:tc>
          <w:tcPr>
            <w:tcW w:type="dxa" w:w="3312"/>
            <w:vAlign w:val="center"/>
          </w:tcPr>
          <w:p>
            <w:pPr>
              <w:spacing w:after="0"/>
            </w:pPr>
            <w:r/>
            <w:r>
              <w:rPr>
                <w:rFonts w:ascii="Arial" w:hAnsi="Arial"/>
                <w:b w:val="0"/>
                <w:sz w:val="17"/>
              </w:rPr>
              <w:t>Quantity – Sales</w:t>
            </w:r>
          </w:p>
        </w:tc>
        <w:tc>
          <w:tcPr>
            <w:tcW w:type="dxa" w:w="3312"/>
            <w:vAlign w:val="center"/>
          </w:tcPr>
          <w:p>
            <w:pPr>
              <w:spacing w:after="0"/>
            </w:pPr>
            <w:r/>
            <w:r>
              <w:rPr>
                <w:rFonts w:ascii="Arial" w:hAnsi="Arial"/>
                <w:b w:val="0"/>
                <w:sz w:val="17"/>
              </w:rPr>
              <w:t>0.491</w:t>
            </w:r>
          </w:p>
        </w:tc>
        <w:tc>
          <w:tcPr>
            <w:tcW w:type="dxa" w:w="3312"/>
            <w:vAlign w:val="center"/>
          </w:tcPr>
          <w:p>
            <w:pPr>
              <w:spacing w:after="0"/>
            </w:pPr>
            <w:r/>
            <w:r>
              <w:rPr>
                <w:rFonts w:ascii="Arial" w:hAnsi="Arial"/>
                <w:b w:val="0"/>
                <w:sz w:val="17"/>
              </w:rPr>
              <w:t>Higher quantities tend to be associated with higher sales.</w:t>
            </w:r>
          </w:p>
        </w:tc>
      </w:tr>
      <w:tr>
        <w:tc>
          <w:tcPr>
            <w:tcW w:type="dxa" w:w="3312"/>
            <w:vAlign w:val="center"/>
          </w:tcPr>
          <w:p>
            <w:pPr>
              <w:spacing w:after="0"/>
            </w:pPr>
            <w:r/>
            <w:r>
              <w:rPr>
                <w:rFonts w:ascii="Arial" w:hAnsi="Arial"/>
                <w:b w:val="0"/>
                <w:sz w:val="17"/>
              </w:rPr>
              <w:t>Sales – Profit</w:t>
            </w:r>
          </w:p>
        </w:tc>
        <w:tc>
          <w:tcPr>
            <w:tcW w:type="dxa" w:w="3312"/>
            <w:vAlign w:val="center"/>
          </w:tcPr>
          <w:p>
            <w:pPr>
              <w:spacing w:after="0"/>
            </w:pPr>
            <w:r/>
            <w:r>
              <w:rPr>
                <w:rFonts w:ascii="Arial" w:hAnsi="Arial"/>
                <w:b w:val="0"/>
                <w:sz w:val="17"/>
              </w:rPr>
              <w:t>0.417</w:t>
            </w:r>
          </w:p>
        </w:tc>
        <w:tc>
          <w:tcPr>
            <w:tcW w:type="dxa" w:w="3312"/>
            <w:vAlign w:val="center"/>
          </w:tcPr>
          <w:p>
            <w:pPr>
              <w:spacing w:after="0"/>
            </w:pPr>
            <w:r/>
            <w:r>
              <w:rPr>
                <w:rFonts w:ascii="Arial" w:hAnsi="Arial"/>
                <w:b w:val="0"/>
                <w:sz w:val="17"/>
              </w:rPr>
              <w:t>Higher sales tend to be associated with higher profit, but the relationship is not perfect.</w:t>
            </w:r>
          </w:p>
        </w:tc>
      </w:tr>
      <w:tr>
        <w:tc>
          <w:tcPr>
            <w:tcW w:type="dxa" w:w="3312"/>
            <w:vAlign w:val="center"/>
          </w:tcPr>
          <w:p>
            <w:pPr>
              <w:spacing w:after="0"/>
            </w:pPr>
            <w:r/>
            <w:r>
              <w:rPr>
                <w:rFonts w:ascii="Arial" w:hAnsi="Arial"/>
                <w:b w:val="0"/>
                <w:sz w:val="17"/>
              </w:rPr>
              <w:t>Profit – Profit_Margin_Pct</w:t>
            </w:r>
          </w:p>
        </w:tc>
        <w:tc>
          <w:tcPr>
            <w:tcW w:type="dxa" w:w="3312"/>
            <w:vAlign w:val="center"/>
          </w:tcPr>
          <w:p>
            <w:pPr>
              <w:spacing w:after="0"/>
            </w:pPr>
            <w:r/>
            <w:r>
              <w:rPr>
                <w:rFonts w:ascii="Arial" w:hAnsi="Arial"/>
                <w:b w:val="0"/>
                <w:sz w:val="17"/>
              </w:rPr>
              <w:t>0.416</w:t>
            </w:r>
          </w:p>
        </w:tc>
        <w:tc>
          <w:tcPr>
            <w:tcW w:type="dxa" w:w="3312"/>
            <w:vAlign w:val="center"/>
          </w:tcPr>
          <w:p>
            <w:pPr>
              <w:spacing w:after="0"/>
            </w:pPr>
            <w:r/>
            <w:r>
              <w:rPr>
                <w:rFonts w:ascii="Arial" w:hAnsi="Arial"/>
                <w:b w:val="0"/>
                <w:sz w:val="17"/>
              </w:rPr>
              <w:t>Positive association, partly mathematical because margin includes profit.</w:t>
            </w:r>
          </w:p>
        </w:tc>
      </w:tr>
      <w:tr>
        <w:tc>
          <w:tcPr>
            <w:tcW w:type="dxa" w:w="3312"/>
            <w:vAlign w:val="center"/>
          </w:tcPr>
          <w:p>
            <w:pPr>
              <w:spacing w:after="0"/>
            </w:pPr>
            <w:r/>
            <w:r>
              <w:rPr>
                <w:rFonts w:ascii="Arial" w:hAnsi="Arial"/>
                <w:b w:val="0"/>
                <w:sz w:val="17"/>
              </w:rPr>
              <w:t>Profit – Discount</w:t>
            </w:r>
          </w:p>
        </w:tc>
        <w:tc>
          <w:tcPr>
            <w:tcW w:type="dxa" w:w="3312"/>
            <w:vAlign w:val="center"/>
          </w:tcPr>
          <w:p>
            <w:pPr>
              <w:spacing w:after="0"/>
            </w:pPr>
            <w:r/>
            <w:r>
              <w:rPr>
                <w:rFonts w:ascii="Arial" w:hAnsi="Arial"/>
                <w:b w:val="0"/>
                <w:sz w:val="17"/>
              </w:rPr>
              <w:t>−0.317</w:t>
            </w:r>
          </w:p>
        </w:tc>
        <w:tc>
          <w:tcPr>
            <w:tcW w:type="dxa" w:w="3312"/>
            <w:vAlign w:val="center"/>
          </w:tcPr>
          <w:p>
            <w:pPr>
              <w:spacing w:after="0"/>
            </w:pPr>
            <w:r/>
            <w:r>
              <w:rPr>
                <w:rFonts w:ascii="Arial" w:hAnsi="Arial"/>
                <w:b w:val="0"/>
                <w:sz w:val="17"/>
              </w:rPr>
              <w:t>Moderate negative association in the observed line-level data.</w:t>
            </w:r>
          </w:p>
        </w:tc>
      </w:tr>
      <w:tr>
        <w:tc>
          <w:tcPr>
            <w:tcW w:type="dxa" w:w="3312"/>
            <w:vAlign w:val="center"/>
          </w:tcPr>
          <w:p>
            <w:pPr>
              <w:spacing w:after="0"/>
            </w:pPr>
            <w:r/>
            <w:r>
              <w:rPr>
                <w:rFonts w:ascii="Arial" w:hAnsi="Arial"/>
                <w:b w:val="0"/>
                <w:sz w:val="17"/>
              </w:rPr>
              <w:t>Discount – Profit_Margin_Pct</w:t>
            </w:r>
          </w:p>
        </w:tc>
        <w:tc>
          <w:tcPr>
            <w:tcW w:type="dxa" w:w="3312"/>
            <w:vAlign w:val="center"/>
          </w:tcPr>
          <w:p>
            <w:pPr>
              <w:spacing w:after="0"/>
            </w:pPr>
            <w:r/>
            <w:r>
              <w:rPr>
                <w:rFonts w:ascii="Arial" w:hAnsi="Arial"/>
                <w:b w:val="0"/>
                <w:sz w:val="17"/>
              </w:rPr>
              <w:t>−0.766</w:t>
            </w:r>
          </w:p>
        </w:tc>
        <w:tc>
          <w:tcPr>
            <w:tcW w:type="dxa" w:w="3312"/>
            <w:vAlign w:val="center"/>
          </w:tcPr>
          <w:p>
            <w:pPr>
              <w:spacing w:after="0"/>
            </w:pPr>
            <w:r/>
            <w:r>
              <w:rPr>
                <w:rFonts w:ascii="Arial" w:hAnsi="Arial"/>
                <w:b w:val="0"/>
                <w:sz w:val="17"/>
              </w:rPr>
              <w:t>Strong negative association; inspect calculation and business context before inferring impact.</w:t>
            </w:r>
          </w:p>
        </w:tc>
      </w:tr>
    </w:tbl>
    <w:p/>
    <w:p>
      <w:r>
        <w:t>Correlation coefficients summarize linear association and do not establish causal relationships. Profit margin is calculated using Profit, so correlations between profit and margin are partly induced by the formula. The strong negative discount–margin correlation is a useful investigation lead, but it can also reflect product mix, pricing and how the source data calculates profit. A more defensible follow-up would compare margin by discount band while controlling or stratifying for category, product, market and time.</w:t>
      </w:r>
    </w:p>
    <w:p>
      <w:r>
        <w:t>The notebook generated week4_correlation_heatmap.png to visualize the complete correlation matrix. The heatmap should be included in the submission package with its caption and the caveats above.</w:t>
      </w:r>
    </w:p>
    <w:p>
      <w:pPr>
        <w:pStyle w:val="Heading1"/>
      </w:pPr>
      <w:r>
        <w:t>8. Business Insights and Hypothetical Scenarios</w:t>
      </w:r>
    </w:p>
    <w:p>
      <w:pPr>
        <w:pStyle w:val="Heading2"/>
      </w:pPr>
      <w:r>
        <w:t>Scenario A: Home and Accessories profitability review</w:t>
      </w:r>
    </w:p>
    <w:p>
      <w:r>
        <w:t>Observed evidence: the category generated sales of 1,245,643 but a total loss of 57,187.64 and margin of −4.59%. Hypothetical response: the business team selects the ten products with the largest total losses, reviews landed costs, discounting, returns and fulfilment charges, then tests revised pricing or reduced promotions on a small eligible subset. Success metrics: contribution profit, margin, conversion rate and units sold. The test should include a comparison group so that changes are not attributed to the intervention without evidence.</w:t>
      </w:r>
    </w:p>
    <w:p>
      <w:pPr>
        <w:pStyle w:val="Heading2"/>
      </w:pPr>
      <w:r>
        <w:t>Scenario B: 2023 sales growth with declining profit</w:t>
      </w:r>
    </w:p>
    <w:p>
      <w:r>
        <w:t>Observed evidence: sales increased 23.82% and unique orders increased 28.68%, but total profit fell 12.16%. Hypothetical response: finance and analytics build a year-over-year profit bridge by category, market, product and discount band. They separate changes in volume, selling price, product mix and unit economics. Success metrics: profit per order, weighted margin, loss-making line share and total profit. No single cause should be declared until the bridge explains the decline.</w:t>
      </w:r>
    </w:p>
    <w:p>
      <w:pPr>
        <w:pStyle w:val="Heading2"/>
      </w:pPr>
      <w:r>
        <w:t>Scenario C: One-time-buyer conversion</w:t>
      </w:r>
    </w:p>
    <w:p>
      <w:r>
        <w:t>Observed evidence: 68.79% of customers are one-time buyers. Hypothetical response: test a post-purchase reminder or relevant replenishment offer among eligible first-time buyers, using a randomized holdout group. Measure second-purchase conversion, incremental gross profit, time to second purchase and unsubscribe/complaint rate. A discount should not be the default incentive because profitability already needs investigation.</w:t>
      </w:r>
    </w:p>
    <w:p>
      <w:pPr>
        <w:pStyle w:val="Heading2"/>
      </w:pPr>
      <w:r>
        <w:t>Scenario D: Inactive-customer win-back</w:t>
      </w:r>
    </w:p>
    <w:p>
      <w:r>
        <w:t>Observed evidence: 56.09% of customers have a recency above 365 days. Hypothetical response: segment inactive customers by historic monetary value and product category, then test a tailored win-back message. Exclude customers with insufficient contact permissions according to the business's own policy; this dataset does not contain evidence about consent or lawful basis. Evaluate incremental reactivation and profit against a holdout.</w:t>
      </w:r>
    </w:p>
    <w:p>
      <w:pPr>
        <w:pStyle w:val="Heading2"/>
      </w:pPr>
      <w:r>
        <w:t>Scenario E: Market-level margin monitoring</w:t>
      </w:r>
    </w:p>
    <w:p>
      <w:r>
        <w:t>Observed evidence: Europe has a 22.30% margin while Asia Pacific has the highest sales but a 12.49% margin. Hypothetical response: compare product mix, shipping/cost structures, discount bands and customer cohorts across markets before reallocating budget. Track margin and incremental profit alongside sales and order growth.</w:t>
      </w:r>
    </w:p>
    <w:p>
      <w:pPr>
        <w:pStyle w:val="Heading1"/>
      </w:pPr>
      <w:r>
        <w:t>9. Recommendations</w:t>
      </w:r>
    </w:p>
    <w:p>
      <w:pPr>
        <w:pStyle w:val="ListNumber"/>
      </w:pPr>
      <w:r>
        <w:t>Investigate the 2023 profit decline first. Create a profit bridge by category, product, market and discount band; validate cost, return and fulfilment fields if available.</w:t>
      </w:r>
    </w:p>
    <w:p>
      <w:pPr>
        <w:pStyle w:val="ListNumber"/>
      </w:pPr>
      <w:r>
        <w:t>Prioritize Home and Accessories for product-level profitability diagnosis because its aggregate margin is negative.</w:t>
      </w:r>
    </w:p>
    <w:p>
      <w:pPr>
        <w:pStyle w:val="ListNumber"/>
      </w:pPr>
      <w:r>
        <w:t>Review Hair care products close to break-even; avoid blanket actions until product-level evidence identifies the loss drivers.</w:t>
      </w:r>
    </w:p>
    <w:p>
      <w:pPr>
        <w:pStyle w:val="ListNumber"/>
      </w:pPr>
      <w:r>
        <w:t>Design controlled experiments for second-purchase and win-back initiatives; evaluate incremental profit, not only response rate or revenue.</w:t>
      </w:r>
    </w:p>
    <w:p>
      <w:pPr>
        <w:pStyle w:val="ListNumber"/>
      </w:pPr>
      <w:r>
        <w:t>Monitor weighted profit margin, profit per order, loss-making product share, repeat-purchase rate and inactive-customer share in a recurring dashboard.</w:t>
      </w:r>
    </w:p>
    <w:p>
      <w:pPr>
        <w:pStyle w:val="ListNumber"/>
      </w:pPr>
      <w:r>
        <w:t>Use Europe’s higher observed margin as a hypothesis for further analysis, not an automatic budget-allocation decision; account for scale, costs and product/customer mix.</w:t>
      </w:r>
    </w:p>
    <w:p>
      <w:pPr>
        <w:pStyle w:val="ListNumber"/>
      </w:pPr>
      <w:r>
        <w:t>Add effect sizes, confidence intervals and a multiple-testing correction to future statistical reporting.</w:t>
      </w:r>
    </w:p>
    <w:p>
      <w:pPr>
        <w:pStyle w:val="ListNumber"/>
      </w:pPr>
      <w:r>
        <w:t>Preserve valid extreme observations unless a documented data-quality investigation confirms errors; provide sensitivity analysis with and without extreme values when appropriate.</w:t>
      </w:r>
    </w:p>
    <w:p>
      <w:pPr>
        <w:pStyle w:val="Heading1"/>
      </w:pPr>
      <w:r>
        <w:t>10. Limitations</w:t>
      </w:r>
    </w:p>
    <w:p>
      <w:pPr>
        <w:pStyle w:val="ListBullet"/>
      </w:pPr>
      <w:r>
        <w:t>The report is based on observational transaction data; it cannot prove that discounts or any other factor caused profit changes.</w:t>
      </w:r>
    </w:p>
    <w:p>
      <w:pPr>
        <w:pStyle w:val="ListBullet"/>
      </w:pPr>
      <w:r>
        <w:t>The activity status is a rule-based recency proxy and is not a validated churn label or predictive model.</w:t>
      </w:r>
    </w:p>
    <w:p>
      <w:pPr>
        <w:pStyle w:val="ListBullet"/>
      </w:pPr>
      <w:r>
        <w:t>The dataset summary does not include all possible cost, return, marketing exposure or customer-contact variables needed to explain profitability and retention.</w:t>
      </w:r>
    </w:p>
    <w:p>
      <w:pPr>
        <w:pStyle w:val="ListBullet"/>
      </w:pPr>
      <w:r>
        <w:t>Large sample sizes can produce small p-values for modest differences; effect sizes and confidence intervals were not included in the supplied output.</w:t>
      </w:r>
    </w:p>
    <w:p>
      <w:pPr>
        <w:pStyle w:val="ListBullet"/>
      </w:pPr>
      <w:r>
        <w:t>Six statistical tests were performed without a multiple-comparison adjustment.</w:t>
      </w:r>
    </w:p>
    <w:p>
      <w:pPr>
        <w:pStyle w:val="ListBullet"/>
      </w:pPr>
      <w:r>
        <w:t>The Pearson correlation matrix describes linear relationships and may be influenced by skewed values and formula-derived variables.</w:t>
      </w:r>
    </w:p>
    <w:p>
      <w:pPr>
        <w:pStyle w:val="ListBullet"/>
      </w:pPr>
      <w:r>
        <w:t>Outliers were flagged using the IQR rule but were not independently verified as errors. Their business validity should be checked.</w:t>
      </w:r>
    </w:p>
    <w:p>
      <w:pPr>
        <w:pStyle w:val="ListBullet"/>
      </w:pPr>
      <w:r>
        <w:t>Currency is described as USD in the public repository. All monetary values in this report follow the dataset's reported units; the currency convention should be confirmed before external business use.</w:t>
      </w:r>
    </w:p>
    <w:p>
      <w:pPr>
        <w:pStyle w:val="Heading1"/>
      </w:pPr>
      <w:r>
        <w:t>11. Conclusion</w:t>
      </w:r>
    </w:p>
    <w:p>
      <w:r>
        <w:t>The Week 4 analysis progressed from dataset validation to exploratory analysis, statistical comparison, feature engineering and business recommendations. The data is complete under the reported missingness and duplicate checks, and the engineered files passed the stated structural validations. The key findings are that sales and order volume increased across the period, 2023 profit declined despite sales growth, Home and Accessories is loss-making in aggregate, Europe has the highest observed market margin, and a large share of customers is one-time or inactive under the project's definitions.</w:t>
      </w:r>
    </w:p>
    <w:p>
      <w:r>
        <w:t>The strongest next step is not to make unsupported causal claims but to perform targeted follow-up analyses: product-level loss diagnosis, discount-band comparisons stratified by category and market, and controlled retention experiments. This approach connects statistical evidence to measurable business decisions while acknowledging the limits of observational data.</w:t>
      </w:r>
    </w:p>
    <w:p>
      <w:pPr>
        <w:pStyle w:val="Heading1"/>
      </w:pPr>
      <w:r>
        <w:t>12. Deliverables and Figure Inventory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rial" w:hAnsi="Arial"/>
                <w:b/>
                <w:sz w:val="17"/>
              </w:rPr>
              <w:t>File / figure</w:t>
            </w:r>
          </w:p>
        </w:tc>
        <w:tc>
          <w:tcPr>
            <w:tcW w:type="dxa" w:w="4968"/>
            <w:vAlign w:val="center"/>
            <w:shd w:fill="D9EAF7"/>
          </w:tcPr>
          <w:p>
            <w:pPr>
              <w:spacing w:after="0"/>
            </w:pPr>
            <w:r/>
            <w:r>
              <w:rPr>
                <w:rFonts w:ascii="Arial" w:hAnsi="Arial"/>
                <w:b/>
                <w:sz w:val="17"/>
              </w:rPr>
              <w:t>Purpose</w:t>
            </w:r>
          </w:p>
        </w:tc>
      </w:tr>
      <w:tr>
        <w:tc>
          <w:tcPr>
            <w:tcW w:type="dxa" w:w="4968"/>
            <w:vAlign w:val="center"/>
          </w:tcPr>
          <w:p>
            <w:pPr>
              <w:spacing w:after="0"/>
            </w:pPr>
            <w:r/>
            <w:r>
              <w:rPr>
                <w:rFonts w:ascii="Arial" w:hAnsi="Arial"/>
                <w:b w:val="0"/>
                <w:sz w:val="17"/>
              </w:rPr>
              <w:t>week4_numerical_distributions.png</w:t>
            </w:r>
          </w:p>
        </w:tc>
        <w:tc>
          <w:tcPr>
            <w:tcW w:type="dxa" w:w="4968"/>
            <w:vAlign w:val="center"/>
          </w:tcPr>
          <w:p>
            <w:pPr>
              <w:spacing w:after="0"/>
            </w:pPr>
            <w:r/>
            <w:r>
              <w:rPr>
                <w:rFonts w:ascii="Arial" w:hAnsi="Arial"/>
                <w:b w:val="0"/>
                <w:sz w:val="17"/>
              </w:rPr>
              <w:t>Histogram/KDE view of Quantity, Sales, Discount and Profit.</w:t>
            </w:r>
          </w:p>
        </w:tc>
      </w:tr>
      <w:tr>
        <w:tc>
          <w:tcPr>
            <w:tcW w:type="dxa" w:w="4968"/>
            <w:vAlign w:val="center"/>
          </w:tcPr>
          <w:p>
            <w:pPr>
              <w:spacing w:after="0"/>
            </w:pPr>
            <w:r/>
            <w:r>
              <w:rPr>
                <w:rFonts w:ascii="Arial" w:hAnsi="Arial"/>
                <w:b w:val="0"/>
                <w:sz w:val="17"/>
              </w:rPr>
              <w:t>week4_numerical_boxplots.png</w:t>
            </w:r>
          </w:p>
        </w:tc>
        <w:tc>
          <w:tcPr>
            <w:tcW w:type="dxa" w:w="4968"/>
            <w:vAlign w:val="center"/>
          </w:tcPr>
          <w:p>
            <w:pPr>
              <w:spacing w:after="0"/>
            </w:pPr>
            <w:r/>
            <w:r>
              <w:rPr>
                <w:rFonts w:ascii="Arial" w:hAnsi="Arial"/>
                <w:b w:val="0"/>
                <w:sz w:val="17"/>
              </w:rPr>
              <w:t>Boxplots to review spread and potential extreme observations.</w:t>
            </w:r>
          </w:p>
        </w:tc>
      </w:tr>
      <w:tr>
        <w:tc>
          <w:tcPr>
            <w:tcW w:type="dxa" w:w="4968"/>
            <w:vAlign w:val="center"/>
          </w:tcPr>
          <w:p>
            <w:pPr>
              <w:spacing w:after="0"/>
            </w:pPr>
            <w:r/>
            <w:r>
              <w:rPr>
                <w:rFonts w:ascii="Arial" w:hAnsi="Arial"/>
                <w:b w:val="0"/>
                <w:sz w:val="17"/>
              </w:rPr>
              <w:t>week4_monthly_trends.png</w:t>
            </w:r>
          </w:p>
        </w:tc>
        <w:tc>
          <w:tcPr>
            <w:tcW w:type="dxa" w:w="4968"/>
            <w:vAlign w:val="center"/>
          </w:tcPr>
          <w:p>
            <w:pPr>
              <w:spacing w:after="0"/>
            </w:pPr>
            <w:r/>
            <w:r>
              <w:rPr>
                <w:rFonts w:ascii="Arial" w:hAnsi="Arial"/>
                <w:b w:val="0"/>
                <w:sz w:val="17"/>
              </w:rPr>
              <w:t>Monthly sales, profit and order trends.</w:t>
            </w:r>
          </w:p>
        </w:tc>
      </w:tr>
      <w:tr>
        <w:tc>
          <w:tcPr>
            <w:tcW w:type="dxa" w:w="4968"/>
            <w:vAlign w:val="center"/>
          </w:tcPr>
          <w:p>
            <w:pPr>
              <w:spacing w:after="0"/>
            </w:pPr>
            <w:r/>
            <w:r>
              <w:rPr>
                <w:rFonts w:ascii="Arial" w:hAnsi="Arial"/>
                <w:b w:val="0"/>
                <w:sz w:val="17"/>
              </w:rPr>
              <w:t>week4_yearly_comparison.png</w:t>
            </w:r>
          </w:p>
        </w:tc>
        <w:tc>
          <w:tcPr>
            <w:tcW w:type="dxa" w:w="4968"/>
            <w:vAlign w:val="center"/>
          </w:tcPr>
          <w:p>
            <w:pPr>
              <w:spacing w:after="0"/>
            </w:pPr>
            <w:r/>
            <w:r>
              <w:rPr>
                <w:rFonts w:ascii="Arial" w:hAnsi="Arial"/>
                <w:b w:val="0"/>
                <w:sz w:val="17"/>
              </w:rPr>
              <w:t>Annual performance comparison.</w:t>
            </w:r>
          </w:p>
        </w:tc>
      </w:tr>
      <w:tr>
        <w:tc>
          <w:tcPr>
            <w:tcW w:type="dxa" w:w="4968"/>
            <w:vAlign w:val="center"/>
          </w:tcPr>
          <w:p>
            <w:pPr>
              <w:spacing w:after="0"/>
            </w:pPr>
            <w:r/>
            <w:r>
              <w:rPr>
                <w:rFonts w:ascii="Arial" w:hAnsi="Arial"/>
                <w:b w:val="0"/>
                <w:sz w:val="17"/>
              </w:rPr>
              <w:t>week4_category_performance.png</w:t>
            </w:r>
          </w:p>
        </w:tc>
        <w:tc>
          <w:tcPr>
            <w:tcW w:type="dxa" w:w="4968"/>
            <w:vAlign w:val="center"/>
          </w:tcPr>
          <w:p>
            <w:pPr>
              <w:spacing w:after="0"/>
            </w:pPr>
            <w:r/>
            <w:r>
              <w:rPr>
                <w:rFonts w:ascii="Arial" w:hAnsi="Arial"/>
                <w:b w:val="0"/>
                <w:sz w:val="17"/>
              </w:rPr>
              <w:t>Category-level performance comparison.</w:t>
            </w:r>
          </w:p>
        </w:tc>
      </w:tr>
      <w:tr>
        <w:tc>
          <w:tcPr>
            <w:tcW w:type="dxa" w:w="4968"/>
            <w:vAlign w:val="center"/>
          </w:tcPr>
          <w:p>
            <w:pPr>
              <w:spacing w:after="0"/>
            </w:pPr>
            <w:r/>
            <w:r>
              <w:rPr>
                <w:rFonts w:ascii="Arial" w:hAnsi="Arial"/>
                <w:b w:val="0"/>
                <w:sz w:val="17"/>
              </w:rPr>
              <w:t>week4_market_performance.png</w:t>
            </w:r>
          </w:p>
        </w:tc>
        <w:tc>
          <w:tcPr>
            <w:tcW w:type="dxa" w:w="4968"/>
            <w:vAlign w:val="center"/>
          </w:tcPr>
          <w:p>
            <w:pPr>
              <w:spacing w:after="0"/>
            </w:pPr>
            <w:r/>
            <w:r>
              <w:rPr>
                <w:rFonts w:ascii="Arial" w:hAnsi="Arial"/>
                <w:b w:val="0"/>
                <w:sz w:val="17"/>
              </w:rPr>
              <w:t>Market-level performance comparison.</w:t>
            </w:r>
          </w:p>
        </w:tc>
      </w:tr>
      <w:tr>
        <w:tc>
          <w:tcPr>
            <w:tcW w:type="dxa" w:w="4968"/>
            <w:vAlign w:val="center"/>
          </w:tcPr>
          <w:p>
            <w:pPr>
              <w:spacing w:after="0"/>
            </w:pPr>
            <w:r/>
            <w:r>
              <w:rPr>
                <w:rFonts w:ascii="Arial" w:hAnsi="Arial"/>
                <w:b w:val="0"/>
                <w:sz w:val="17"/>
              </w:rPr>
              <w:t>week4_customer_activity_analysis.png</w:t>
            </w:r>
          </w:p>
        </w:tc>
        <w:tc>
          <w:tcPr>
            <w:tcW w:type="dxa" w:w="4968"/>
            <w:vAlign w:val="center"/>
          </w:tcPr>
          <w:p>
            <w:pPr>
              <w:spacing w:after="0"/>
            </w:pPr>
            <w:r/>
            <w:r>
              <w:rPr>
                <w:rFonts w:ascii="Arial" w:hAnsi="Arial"/>
                <w:b w:val="0"/>
                <w:sz w:val="17"/>
              </w:rPr>
              <w:t>Active versus inactive customer summaries.</w:t>
            </w:r>
          </w:p>
        </w:tc>
      </w:tr>
      <w:tr>
        <w:tc>
          <w:tcPr>
            <w:tcW w:type="dxa" w:w="4968"/>
            <w:vAlign w:val="center"/>
          </w:tcPr>
          <w:p>
            <w:pPr>
              <w:spacing w:after="0"/>
            </w:pPr>
            <w:r/>
            <w:r>
              <w:rPr>
                <w:rFonts w:ascii="Arial" w:hAnsi="Arial"/>
                <w:b w:val="0"/>
                <w:sz w:val="17"/>
              </w:rPr>
              <w:t>week4_correlation_heatmap.png</w:t>
            </w:r>
          </w:p>
        </w:tc>
        <w:tc>
          <w:tcPr>
            <w:tcW w:type="dxa" w:w="4968"/>
            <w:vAlign w:val="center"/>
          </w:tcPr>
          <w:p>
            <w:pPr>
              <w:spacing w:after="0"/>
            </w:pPr>
            <w:r/>
            <w:r>
              <w:rPr>
                <w:rFonts w:ascii="Arial" w:hAnsi="Arial"/>
                <w:b w:val="0"/>
                <w:sz w:val="17"/>
              </w:rPr>
              <w:t>Correlation matrix for numerical and engineered variables.</w:t>
            </w:r>
          </w:p>
        </w:tc>
      </w:tr>
      <w:tr>
        <w:tc>
          <w:tcPr>
            <w:tcW w:type="dxa" w:w="4968"/>
            <w:vAlign w:val="center"/>
          </w:tcPr>
          <w:p>
            <w:pPr>
              <w:spacing w:after="0"/>
            </w:pPr>
            <w:r/>
            <w:r>
              <w:rPr>
                <w:rFonts w:ascii="Arial" w:hAnsi="Arial"/>
                <w:b w:val="0"/>
                <w:sz w:val="17"/>
              </w:rPr>
              <w:t>week4_market_profitability_risk.png</w:t>
            </w:r>
          </w:p>
        </w:tc>
        <w:tc>
          <w:tcPr>
            <w:tcW w:type="dxa" w:w="4968"/>
            <w:vAlign w:val="center"/>
          </w:tcPr>
          <w:p>
            <w:pPr>
              <w:spacing w:after="0"/>
            </w:pPr>
            <w:r/>
            <w:r>
              <w:rPr>
                <w:rFonts w:ascii="Arial" w:hAnsi="Arial"/>
                <w:b w:val="0"/>
                <w:sz w:val="17"/>
              </w:rPr>
              <w:t>Market profitability risk view.</w:t>
            </w:r>
          </w:p>
        </w:tc>
      </w:tr>
      <w:tr>
        <w:tc>
          <w:tcPr>
            <w:tcW w:type="dxa" w:w="4968"/>
            <w:vAlign w:val="center"/>
          </w:tcPr>
          <w:p>
            <w:pPr>
              <w:spacing w:after="0"/>
            </w:pPr>
            <w:r/>
            <w:r>
              <w:rPr>
                <w:rFonts w:ascii="Arial" w:hAnsi="Arial"/>
                <w:b w:val="0"/>
                <w:sz w:val="17"/>
              </w:rPr>
              <w:t>week4_customer_features.csv</w:t>
            </w:r>
          </w:p>
        </w:tc>
        <w:tc>
          <w:tcPr>
            <w:tcW w:type="dxa" w:w="4968"/>
            <w:vAlign w:val="center"/>
          </w:tcPr>
          <w:p>
            <w:pPr>
              <w:spacing w:after="0"/>
            </w:pPr>
            <w:r/>
            <w:r>
              <w:rPr>
                <w:rFonts w:ascii="Arial" w:hAnsi="Arial"/>
                <w:b w:val="0"/>
                <w:sz w:val="17"/>
              </w:rPr>
              <w:t>Validated customer-level engineered features; 17,415 × 12.</w:t>
            </w:r>
          </w:p>
        </w:tc>
      </w:tr>
      <w:tr>
        <w:tc>
          <w:tcPr>
            <w:tcW w:type="dxa" w:w="4968"/>
            <w:vAlign w:val="center"/>
          </w:tcPr>
          <w:p>
            <w:pPr>
              <w:spacing w:after="0"/>
            </w:pPr>
            <w:r/>
            <w:r>
              <w:rPr>
                <w:rFonts w:ascii="Arial" w:hAnsi="Arial"/>
                <w:b w:val="0"/>
                <w:sz w:val="17"/>
              </w:rPr>
              <w:t>week4_transaction_features.csv</w:t>
            </w:r>
          </w:p>
        </w:tc>
        <w:tc>
          <w:tcPr>
            <w:tcW w:type="dxa" w:w="4968"/>
            <w:vAlign w:val="center"/>
          </w:tcPr>
          <w:p>
            <w:pPr>
              <w:spacing w:after="0"/>
            </w:pPr>
            <w:r/>
            <w:r>
              <w:rPr>
                <w:rFonts w:ascii="Arial" w:hAnsi="Arial"/>
                <w:b w:val="0"/>
                <w:sz w:val="17"/>
              </w:rPr>
              <w:t>Validated transaction-level engineered features; 51,290 × 27.</w:t>
            </w:r>
          </w:p>
        </w:tc>
      </w:tr>
      <w:tr>
        <w:tc>
          <w:tcPr>
            <w:tcW w:type="dxa" w:w="4968"/>
            <w:vAlign w:val="center"/>
          </w:tcPr>
          <w:p>
            <w:pPr>
              <w:spacing w:after="0"/>
            </w:pPr>
            <w:r/>
            <w:r>
              <w:rPr>
                <w:rFonts w:ascii="Arial" w:hAnsi="Arial"/>
                <w:b w:val="0"/>
                <w:sz w:val="17"/>
              </w:rPr>
              <w:t>week4_category_risk_analysis.csv</w:t>
            </w:r>
          </w:p>
        </w:tc>
        <w:tc>
          <w:tcPr>
            <w:tcW w:type="dxa" w:w="4968"/>
            <w:vAlign w:val="center"/>
          </w:tcPr>
          <w:p>
            <w:pPr>
              <w:spacing w:after="0"/>
            </w:pPr>
            <w:r/>
            <w:r>
              <w:rPr>
                <w:rFonts w:ascii="Arial" w:hAnsi="Arial"/>
                <w:b w:val="0"/>
                <w:sz w:val="17"/>
              </w:rPr>
              <w:t>Category profitability summary.</w:t>
            </w:r>
          </w:p>
        </w:tc>
      </w:tr>
      <w:tr>
        <w:tc>
          <w:tcPr>
            <w:tcW w:type="dxa" w:w="4968"/>
            <w:vAlign w:val="center"/>
          </w:tcPr>
          <w:p>
            <w:pPr>
              <w:spacing w:after="0"/>
            </w:pPr>
            <w:r/>
            <w:r>
              <w:rPr>
                <w:rFonts w:ascii="Arial" w:hAnsi="Arial"/>
                <w:b w:val="0"/>
                <w:sz w:val="17"/>
              </w:rPr>
              <w:t>week4_market_risk_analysis.csv</w:t>
            </w:r>
          </w:p>
        </w:tc>
        <w:tc>
          <w:tcPr>
            <w:tcW w:type="dxa" w:w="4968"/>
            <w:vAlign w:val="center"/>
          </w:tcPr>
          <w:p>
            <w:pPr>
              <w:spacing w:after="0"/>
            </w:pPr>
            <w:r/>
            <w:r>
              <w:rPr>
                <w:rFonts w:ascii="Arial" w:hAnsi="Arial"/>
                <w:b w:val="0"/>
                <w:sz w:val="17"/>
              </w:rPr>
              <w:t>Market profitability summary.</w:t>
            </w:r>
          </w:p>
        </w:tc>
      </w:tr>
      <w:tr>
        <w:tc>
          <w:tcPr>
            <w:tcW w:type="dxa" w:w="4968"/>
            <w:vAlign w:val="center"/>
          </w:tcPr>
          <w:p>
            <w:pPr>
              <w:spacing w:after="0"/>
            </w:pPr>
            <w:r/>
            <w:r>
              <w:rPr>
                <w:rFonts w:ascii="Arial" w:hAnsi="Arial"/>
                <w:b w:val="0"/>
                <w:sz w:val="17"/>
              </w:rPr>
              <w:t>week4_business_insights.csv</w:t>
            </w:r>
          </w:p>
        </w:tc>
        <w:tc>
          <w:tcPr>
            <w:tcW w:type="dxa" w:w="4968"/>
            <w:vAlign w:val="center"/>
          </w:tcPr>
          <w:p>
            <w:pPr>
              <w:spacing w:after="0"/>
            </w:pPr>
            <w:r/>
            <w:r>
              <w:rPr>
                <w:rFonts w:ascii="Arial" w:hAnsi="Arial"/>
                <w:b w:val="0"/>
                <w:sz w:val="17"/>
              </w:rPr>
              <w:t>Concise findings, implications and recommended actions.</w:t>
            </w:r>
          </w:p>
        </w:tc>
      </w:tr>
    </w:tbl>
    <w:p/>
    <w:p>
      <w:r>
        <w:t>The five annual/category/market charts embedded in this Word report were recreated only from the verified summary values shown in the analysis outputs. The original nine notebook figures and exported CSVs should be submitted alongside this report if the internship portal accepts supporting files.</w:t>
      </w:r>
    </w:p>
    <w:p>
      <w:pPr>
        <w:pStyle w:val="Heading1"/>
      </w:pPr>
      <w:r>
        <w:t>References</w:t>
      </w:r>
    </w:p>
    <w:p>
      <w:pPr>
        <w:spacing w:after="160"/>
        <w:ind w:left="504" w:hanging="504"/>
      </w:pPr>
      <w:r>
        <w:t>Heckert, N. A., &amp; Filliben, J. J. (2003). NIST/SEMATECH e-Handbook of Statistical Methods: Chapter 1—Exploratory data analysis. National Institute of Standards and Technology. https://www.nist.gov/publications/nistsematech-e-handbook-statistical-methods-chapter-1-exploratory-data-analysis</w:t>
      </w:r>
    </w:p>
    <w:p>
      <w:pPr>
        <w:spacing w:after="160"/>
        <w:ind w:left="504" w:hanging="504"/>
      </w:pPr>
      <w:r>
        <w:t>National Institute of Standards and Technology. (n.d.). Do two arbitrary processes have the same central tendency? In NIST/SEMATECH e-Handbook of Statistical Methods. https://itl.nist.gov/div898/handbook/prc/section3/prc35.htm</w:t>
      </w:r>
    </w:p>
    <w:p>
      <w:pPr>
        <w:spacing w:after="160"/>
        <w:ind w:left="504" w:hanging="504"/>
      </w:pPr>
      <w:r>
        <w:t>xanhnguyen186. (n.d.). Beauty-Ecommerce-Analytics [Data and project repository]. GitHub. https://github.com/xanhnguyen186/Beauty-Ecommerce-Analytics</w:t>
      </w:r>
    </w:p>
    <w:p>
      <w:pPr>
        <w:pStyle w:val="Heading1"/>
      </w:pPr>
      <w:r>
        <w:t>Appendix A. Statistical reporting notes</w:t>
      </w:r>
    </w:p>
    <w:p>
      <w:r>
        <w:t>A p-value below .05 indicates that the observed data would be unusual under the specified null model, given the test assumptions; it does not quantify the probability that the null hypothesis is true. The values shown as 0.000000 in the notebook are rounded outputs. In narrative reporting they are represented as p &lt; .001 rather than p = 0. The Mann–Whitney U test is rank-based and is not strictly a test of medians unless additional distribution-shape assumptions are reasonable.</w:t>
      </w:r>
    </w:p>
    <w:p>
      <w:pPr>
        <w:pStyle w:val="Heading1"/>
      </w:pPr>
      <w:r>
        <w:t>Appendix B. Reproducibility checklist</w:t>
      </w:r>
    </w:p>
    <w:p>
      <w:pPr>
        <w:pStyle w:val="ListBullet"/>
      </w:pPr>
      <w:r>
        <w:t>Confirm the transaction and customer CSV filenames match those used in the notebook.</w:t>
      </w:r>
    </w:p>
    <w:p>
      <w:pPr>
        <w:pStyle w:val="ListBullet"/>
      </w:pPr>
      <w:r>
        <w:t>Keep the nine original PNG figures with the report when submitting supporting evidence.</w:t>
      </w:r>
    </w:p>
    <w:p>
      <w:pPr>
        <w:pStyle w:val="ListBullet"/>
      </w:pPr>
      <w:r>
        <w:t>Retain negative-profit records unless a verified correction is documented.</w:t>
      </w:r>
    </w:p>
    <w:p>
      <w:pPr>
        <w:pStyle w:val="ListBullet"/>
      </w:pPr>
      <w:r>
        <w:t>Record Python/library versions and notebook execution date if the internship requires reproducibility metadata.</w:t>
      </w:r>
    </w:p>
    <w:p>
      <w:pPr>
        <w:pStyle w:val="ListBullet"/>
      </w:pPr>
      <w:r>
        <w:t>Verify the currency and exact business definitions before using findings in a real business decision.</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Week 4 Analytical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