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Information</w:t>
      </w:r>
    </w:p>
    <w:p>
      <w:pPr>
        <w:pStyle w:val="Heading2"/>
      </w:pPr>
      <w:r>
        <w:t>S9. RGB-Specific Structural Adaptation and Inverse Design Results</w:t>
      </w:r>
    </w:p>
    <w:p>
      <w:r>
        <w:br/>
        <w:t>To validate the tunability and design generalizability of our PS-QD hybrid emissive architecture, we extended the structural-performance database to cover red, green, and blue devices. Using normalized target performance vectors (e.g., EQE = 0.85, Luminance = 0.65, etc.), our conditional inverse design module based on nearest-neighbor search identified distinct optimal structure combinations for each emission color.</w:t>
        <w:br/>
        <w:br/>
        <w:t>As shown in Supplementary Fig. S9, red devices tend to favor smaller QD superlattice domains with higher PS coverage, while blue devices exhibit stronger preference for sparse spacing and medium-size microspheres. This difference reflects the interplay between spectral photon confinement, excitonic recombination dynamics, and charge injection balance.</w:t>
        <w:br/>
        <w:br/>
        <w:t>A summary heatmap (Supplementary Fig. S10) reveals averaged structural profiles across RGB subgroups, further validating the adaptability of our platform to color-specific device demands.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rgb_eqe_lum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Figure S9 | EQE vs Luminance scatter plot for RGB QLEDs showing color-dependent performance clustering.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rgb_struct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Figure S10 | Heatmap of average structural parameters for RGB QLED groups, highlighting design divergence.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