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소프트웨어 개발·구축 용역 표준 계약서</w:t>
        <w:br/>
        <w:t>(테스트용)</w:t>
      </w:r>
    </w:p>
    <w:p>
      <w:r>
        <w:t>본 계약서는 소프트웨어 개발·구축 용역의 표준적인 조항을 기준으로 작성한 테스트용 문서입니다. 일부 조항은 검토 시스템의 주의 문구 후보 탐지를 위해 포함한 테스트 문구입니다.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구분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도급인(갑)</w:t>
            </w:r>
          </w:p>
        </w:tc>
        <w:tc>
          <w:tcPr>
            <w:tcW w:type="dxa" w:w="4320"/>
          </w:tcPr>
          <w:p>
            <w:r>
              <w:t>주식회사 테스트솔루션</w:t>
            </w:r>
          </w:p>
        </w:tc>
      </w:tr>
      <w:tr>
        <w:tc>
          <w:tcPr>
            <w:tcW w:type="dxa" w:w="4320"/>
          </w:tcPr>
          <w:p>
            <w:r>
              <w:t>수급인(을)</w:t>
            </w:r>
          </w:p>
        </w:tc>
        <w:tc>
          <w:tcPr>
            <w:tcW w:type="dxa" w:w="4320"/>
          </w:tcPr>
          <w:p>
            <w:r>
              <w:t>홍길동 소프트웨어</w:t>
            </w:r>
          </w:p>
        </w:tc>
      </w:tr>
      <w:tr>
        <w:tc>
          <w:tcPr>
            <w:tcW w:type="dxa" w:w="4320"/>
          </w:tcPr>
          <w:p>
            <w:r>
              <w:t>계약명</w:t>
            </w:r>
          </w:p>
        </w:tc>
        <w:tc>
          <w:tcPr>
            <w:tcW w:type="dxa" w:w="4320"/>
          </w:tcPr>
          <w:p>
            <w:r>
              <w:t>게임용 소프트웨어 개발·구축 용역</w:t>
            </w:r>
          </w:p>
        </w:tc>
      </w:tr>
    </w:tbl>
    <w:p>
      <w:r>
        <w:rPr>
          <w:b/>
        </w:rPr>
        <w:t>제1조(목적)</w:t>
      </w:r>
    </w:p>
    <w:p>
      <w:r>
        <w:t>갑이 추진하는 게임용 소프트웨어 개발·구축 업무를 을에게 위탁하고, 양 당사자의 권리와 의무를 정함을 목적으로 한다.</w:t>
      </w:r>
    </w:p>
    <w:p>
      <w:r>
        <w:rPr>
          <w:b/>
        </w:rPr>
        <w:t>제2조(용역의 범위)</w:t>
      </w:r>
    </w:p>
    <w:p>
      <w:r>
        <w:t>을은 별지 과업내용서에 따라 요구사항 분석, 설계, 개발, 테스트, 배포 지원 및 관련 문서 작성 업무를 수행한다. 범위 변경은 서면 합의로 한다.</w:t>
      </w:r>
    </w:p>
    <w:p>
      <w:r>
        <w:rPr>
          <w:b/>
        </w:rPr>
        <w:t>제3조(계약기간)</w:t>
      </w:r>
    </w:p>
    <w:p>
      <w:r>
        <w:t>계약기간은 2026년 8월 1일부터 2026년 11월 30일까지로 한다. 불가피한 사정으로 기간을 변경할 때에는 상호 협의한다.</w:t>
      </w:r>
    </w:p>
    <w:p>
      <w:r>
        <w:rPr>
          <w:b/>
        </w:rPr>
        <w:t>제4조(대금 및 지급)</w:t>
      </w:r>
    </w:p>
    <w:p>
      <w:r>
        <w:t>총 계약금액은 금 삼천만원정(부가가치세 별도)으로 하며, 갑은 검수 완료 후 30일 이내에 을에게 지급한다.</w:t>
      </w:r>
    </w:p>
    <w:p>
      <w:r>
        <w:rPr>
          <w:b/>
        </w:rPr>
        <w:t>제5조(검수)</w:t>
      </w:r>
    </w:p>
    <w:p>
      <w:r>
        <w:t>을은 산출물을 제출하고 갑은 제출일로부터 10영업일 이내에 검수 결과를 통지한다. 보완이 필요한 경우 을은 합리적인 기간 내에 보완한다.</w:t>
      </w:r>
    </w:p>
    <w:p>
      <w:r>
        <w:rPr>
          <w:b/>
        </w:rPr>
        <w:t>제6조(업무수행 및 협력)</w:t>
      </w:r>
    </w:p>
    <w:p>
      <w:r>
        <w:t>양 당사자는 업무 수행에 필요한 자료와 정보를 성실히 제공한다. 을은 독립된 사업자로서 업무를 수행하며, 갑은 결과물의 품질과 일정 확인에 필요한 범위에서 협의할 수 있다.</w:t>
      </w:r>
    </w:p>
    <w:p>
      <w:r>
        <w:rPr>
          <w:b/>
        </w:rPr>
        <w:t>제7조(지식재산권)</w:t>
      </w:r>
    </w:p>
    <w:p>
      <w:r>
        <w:t>본 용역으로 새로 작성된 산출물의 이용 권한은 대금 지급이 완료된 범위에서 갑에게 귀속한다. 을이 보유한 기존 기술, 범용 라이브러리 및 제3자 권리는 제외한다.</w:t>
      </w:r>
    </w:p>
    <w:p>
      <w:r>
        <w:rPr>
          <w:b/>
        </w:rPr>
        <w:t>제8조(비밀유지)</w:t>
      </w:r>
    </w:p>
    <w:p>
      <w:r>
        <w:t>양 당사자는 계약 수행 중 알게 된 상대방의 영업상·기술상 비밀을 계약 목적 외로 사용하거나 제3자에게 공개하지 않는다.</w:t>
      </w:r>
    </w:p>
    <w:p>
      <w:r>
        <w:rPr>
          <w:b/>
        </w:rPr>
        <w:t>제9조(개인정보 및 보안)</w:t>
      </w:r>
    </w:p>
    <w:p>
      <w:r>
        <w:t>양 당사자는 관련 법령과 합리적인 보안 절차를 준수하고, 업무 종료 또는 요청이 있으면 보유 자료를 반환하거나 삭제한다.</w:t>
      </w:r>
    </w:p>
    <w:p>
      <w:r>
        <w:rPr>
          <w:b/>
        </w:rPr>
        <w:t>제10조(주의 문구 후보 - 과도한 책임 전가)</w:t>
      </w:r>
    </w:p>
    <w:p>
      <w:r>
        <w:t>을은 어떠한 사유로도 프로젝트와 관련하여 발생하는 모든 직접·간접·특별 손해를 제한 없이 배상하며, 갑의 사전 승인 없이 발생한 제3자의 청구까지 전부 부담한다.</w:t>
      </w:r>
    </w:p>
    <w:p>
      <w:r>
        <w:rPr>
          <w:b/>
        </w:rPr>
        <w:t>제11조(주의 문구 후보 - 일방적 해지)</w:t>
      </w:r>
    </w:p>
    <w:p>
      <w:r>
        <w:t>갑은 별도의 사유나 사전 통지 없이 언제든지 계약을 해지할 수 있으며, 을은 해지에 관하여 어떠한 이의도 제기하지 않는다.</w:t>
      </w:r>
    </w:p>
    <w:p>
      <w:r>
        <w:rPr>
          <w:b/>
        </w:rPr>
        <w:t>제12조(주의 문구 후보 - 광범위한 권리 귀속)</w:t>
      </w:r>
    </w:p>
    <w:p>
      <w:r>
        <w:t>을이 본 계약 수행 전부터 보유한 기술과 향후 다른 업무에 활용할 수 있는 일반적 지식까지 갑의 독점적 소유로 본다.</w:t>
      </w:r>
    </w:p>
    <w:p>
      <w:r>
        <w:rPr>
          <w:b/>
        </w:rPr>
        <w:t>제13조(분쟁 해결)</w:t>
      </w:r>
    </w:p>
    <w:p>
      <w:r>
        <w:t>계약에 정하지 않은 사항은 상호 협의하여 정하고, 협의가 이루어지지 않는 경우 민사소송법상 관할 법원에서 해결한다.</w:t>
      </w:r>
    </w:p>
    <w:p>
      <w:r>
        <w:rPr>
          <w:b/>
        </w:rPr>
        <w:t>제14조(특약의 효력)</w:t>
      </w:r>
    </w:p>
    <w:p>
      <w:r>
        <w:t>본 계약의 변경 또는 추가는 양 당사자의 서면 합의가 있는 경우에만 효력이 있다. 본문과 별지의 내용이 충돌하는 경우에는 별지에 달리 정하지 않는 한 본문을 우선한다.</w:t>
      </w:r>
    </w:p>
    <w:p>
      <w:r>
        <w:br/>
        <w:t>[서명란]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구분</w:t>
            </w:r>
          </w:p>
        </w:tc>
        <w:tc>
          <w:tcPr>
            <w:tcW w:type="dxa" w:w="4320"/>
          </w:tcPr>
          <w:p>
            <w:r>
              <w:t>서명 또는 날인</w:t>
            </w:r>
          </w:p>
        </w:tc>
      </w:tr>
      <w:tr>
        <w:tc>
          <w:tcPr>
            <w:tcW w:type="dxa" w:w="4320"/>
          </w:tcPr>
          <w:p>
            <w:r>
              <w:t>갑</w:t>
            </w:r>
          </w:p>
        </w:tc>
        <w:tc>
          <w:tcPr>
            <w:tcW w:type="dxa" w:w="4320"/>
          </w:tcPr>
          <w:p>
            <w:r>
              <w:t>주식회사 테스트솔루션  대표자: __________ (인)</w:t>
            </w:r>
          </w:p>
        </w:tc>
      </w:tr>
      <w:tr>
        <w:tc>
          <w:tcPr>
            <w:tcW w:type="dxa" w:w="4320"/>
          </w:tcPr>
          <w:p>
            <w:r>
              <w:t>을</w:t>
            </w:r>
          </w:p>
        </w:tc>
        <w:tc>
          <w:tcPr>
            <w:tcW w:type="dxa" w:w="4320"/>
          </w:tcPr>
          <w:p>
            <w:r>
              <w:t>홍길동 소프트웨어  대표자: __________ (인)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