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상용소프트웨어 유지관리 용역 표준계약서 (테스트용)</w:t>
      </w:r>
    </w:p>
    <w:p>
      <w:pPr>
        <w:jc w:val="center"/>
      </w:pPr>
      <w:r>
        <w:rPr>
          <w:i/>
        </w:rPr>
        <w:t>정상 흐름 검증용 / 일부 주의 문구 후보 포함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계약명</w:t>
            </w:r>
          </w:p>
        </w:tc>
        <w:tc>
          <w:tcPr>
            <w:tcW w:type="dxa" w:w="4920"/>
          </w:tcPr>
          <w:p>
            <w:r>
              <w:t>상용소프트웨어 유지관리 및 기술지원</w:t>
            </w:r>
          </w:p>
        </w:tc>
      </w:tr>
      <w:tr>
        <w:tc>
          <w:tcPr>
            <w:tcW w:type="dxa" w:w="4920"/>
          </w:tcPr>
          <w:p>
            <w:r>
              <w:t>계약기간</w:t>
            </w:r>
          </w:p>
        </w:tc>
        <w:tc>
          <w:tcPr>
            <w:tcW w:type="dxa" w:w="4920"/>
          </w:tcPr>
          <w:p>
            <w:r>
              <w:t>2026. 8. 1. ~ 2027. 7. 31.</w:t>
            </w:r>
          </w:p>
        </w:tc>
      </w:tr>
      <w:tr>
        <w:tc>
          <w:tcPr>
            <w:tcW w:type="dxa" w:w="4920"/>
          </w:tcPr>
          <w:p>
            <w:r>
              <w:t>계약금액</w:t>
            </w:r>
          </w:p>
        </w:tc>
        <w:tc>
          <w:tcPr>
            <w:tcW w:type="dxa" w:w="4920"/>
          </w:tcPr>
          <w:p>
            <w:r>
              <w:t>월 금 삼백만원정 (부가가치세 별도)</w:t>
            </w:r>
          </w:p>
        </w:tc>
      </w:tr>
    </w:tbl>
    <w:p/>
    <w:p>
      <w:r>
        <w:rPr>
          <w:b/>
        </w:rPr>
        <w:t>제1조(목적)</w:t>
      </w:r>
    </w:p>
    <w:p>
      <w:r>
        <w:t>갑이 사용하는 상용소프트웨어의 안정적인 운영과 장애 대응을 위하여 을에게 유지관리 업무를 위탁한다.</w:t>
      </w:r>
    </w:p>
    <w:p>
      <w:r>
        <w:rPr>
          <w:b/>
        </w:rPr>
        <w:t>제2조(유지관리 범위)</w:t>
      </w:r>
    </w:p>
    <w:p>
      <w:r>
        <w:t>을은 장애 접수, 원인 분석, 복구 지원, 정기 점검, 업데이트 안내 및 기술 문의 대응을 수행한다. 신규 기능 개발은 별도 협의한다.</w:t>
      </w:r>
    </w:p>
    <w:p>
      <w:r>
        <w:rPr>
          <w:b/>
        </w:rPr>
        <w:t>제3조(서비스 수준)</w:t>
      </w:r>
    </w:p>
    <w:p>
      <w:r>
        <w:t>긴급 장애는 접수 후 4시간 이내 대응을 시작하고, 일반 문의는 영업일 2일 이내 답변한다. 복구 완료 시점은 장애 원인과 외부 사업자 의존성에 따라 달라질 수 있다.</w:t>
      </w:r>
    </w:p>
    <w:p>
      <w:r>
        <w:rPr>
          <w:b/>
        </w:rPr>
        <w:t>제4조(업무시간과 연락)</w:t>
      </w:r>
    </w:p>
    <w:p>
      <w:r>
        <w:t>기본 지원시간은 평일 09:00부터 18:00까지로 한다. 야간·휴일 긴급 대응은 사전 합의된 경우에 제공한다.</w:t>
      </w:r>
    </w:p>
    <w:p>
      <w:r>
        <w:rPr>
          <w:b/>
        </w:rPr>
        <w:t>제5조(대금 및 지급)</w:t>
      </w:r>
    </w:p>
    <w:p>
      <w:r>
        <w:t>갑은 매월 말일을 기준으로 산정된 유지관리 대금을 다음 달 10일까지 지급한다. 추가 작업은 사전 견적과 승인 후 진행한다.</w:t>
      </w:r>
    </w:p>
    <w:p>
      <w:r>
        <w:rPr>
          <w:b/>
        </w:rPr>
        <w:t>제6조(검수와 보고)</w:t>
      </w:r>
    </w:p>
    <w:p>
      <w:r>
        <w:t>을은 월별 처리내역과 미해결 이슈를 보고한다. 갑은 보고서 수령 후 7영업일 이내 이견을 통지한다.</w:t>
      </w:r>
    </w:p>
    <w:p>
      <w:r>
        <w:rPr>
          <w:b/>
        </w:rPr>
        <w:t>제7조(접근권한과 보안)</w:t>
      </w:r>
    </w:p>
    <w:p>
      <w:r>
        <w:t>을은 업무에 필요한 최소 권한만 사용하며, 원격 접속 기록과 작업 내역을 관리한다. 갑은 테스트 계정과 안전한 접속 환경을 제공한다.</w:t>
      </w:r>
    </w:p>
    <w:p>
      <w:r>
        <w:rPr>
          <w:b/>
        </w:rPr>
        <w:t>제8조(데이터와 백업)</w:t>
      </w:r>
    </w:p>
    <w:p>
      <w:r>
        <w:t>양 당사자는 작업 전 중요 데이터를 백업하도록 노력한다. 백업 여부와 보존 기간은 시스템별 운영정책에 따른다.</w:t>
      </w:r>
    </w:p>
    <w:p>
      <w:r>
        <w:rPr>
          <w:b/>
        </w:rPr>
        <w:t>제9조(주의 문구 후보 - 무제한 책임)</w:t>
      </w:r>
    </w:p>
    <w:p>
      <w:r>
        <w:t>을은 장애로 발생하는 모든 영업 손실과 제3자 손해를 제한 없이 배상한다. 다만 장애 원인, 귀책 정도 및 실제 손해를 고려하여 협의할 수 있다.</w:t>
      </w:r>
    </w:p>
    <w:p>
      <w:r>
        <w:rPr>
          <w:b/>
        </w:rPr>
        <w:t>제10조(주의 문구 후보 - 자동 연장)</w:t>
      </w:r>
    </w:p>
    <w:p>
      <w:r>
        <w:t>계약기간 만료 30일 전까지 서면 이의가 없으면 동일 조건으로 1년 자동 연장되는 것으로 본다. 요금 조정은 별도 협의한다.</w:t>
      </w:r>
    </w:p>
    <w:p>
      <w:r>
        <w:rPr>
          <w:b/>
        </w:rPr>
        <w:t>제11조(비밀유지와 자료 삭제)</w:t>
      </w:r>
    </w:p>
    <w:p>
      <w:r>
        <w:t>양 당사자는 업무 중 취득한 정보를 보호하며, 계약 종료 후 불필요한 계정과 임시 파일을 삭제한다.</w:t>
      </w:r>
    </w:p>
    <w:p>
      <w:r>
        <w:rPr>
          <w:b/>
        </w:rPr>
        <w:t>제12조(계약 해지와 분쟁)</w:t>
      </w:r>
    </w:p>
    <w:p>
      <w:r>
        <w:t>중대한 계약 위반이 14일 이내 시정되지 않으면 서면 통지로 계약을 해지할 수 있다. 분쟁은 상호 협의하고, 해결되지 않으면 관할 법원에 따른다.</w:t>
      </w:r>
    </w:p>
    <w:p/>
    <w:p>
      <w:r>
        <w:t>본 계약의 성립을 증명하기 위하여 계약서 2부를 작성하고, 갑과 을이 서명 또는 날인한 후 각 1부씩 보관한다.</w:t>
      </w:r>
    </w:p>
    <w:p>
      <w:r>
        <w:t>계약일: 2026년 8월 1일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갑: 주식회사 테스트솔루션</w:t>
              <w:br/>
              <w:t>대표자: __________ (인)</w:t>
            </w:r>
          </w:p>
        </w:tc>
        <w:tc>
          <w:tcPr>
            <w:tcW w:type="dxa" w:w="4920"/>
          </w:tcPr>
          <w:p>
            <w:r>
              <w:t>을: 홍길동 소프트웨어</w:t>
              <w:br/>
              <w:t>대표자: __________ (인)</w:t>
            </w:r>
          </w:p>
        </w:tc>
      </w:tr>
      <w:tr>
        <w:tc>
          <w:tcPr>
            <w:tcW w:type="dxa" w:w="4920"/>
          </w:tcPr>
          <w:p>
            <w:r>
              <w:t>주소: 서울특별시 테스트구</w:t>
            </w:r>
          </w:p>
        </w:tc>
        <w:tc>
          <w:tcPr>
            <w:tcW w:type="dxa" w:w="4920"/>
          </w:tcPr>
          <w:p>
            <w:r>
              <w:t>주소: 서울특별시 테스트구</w:t>
            </w:r>
          </w:p>
        </w:tc>
      </w:tr>
    </w:tbl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