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rial" w:hAnsi="Arial"/>
          <w:b/>
          <w:sz w:val="52"/>
        </w:rPr>
        <w:t>Hybrid Vision System</w:t>
      </w:r>
    </w:p>
    <w:p>
      <w:r>
        <w:rPr>
          <w:rFonts w:ascii="Arial" w:hAnsi="Arial"/>
          <w:color w:val="1A3A60"/>
          <w:sz w:val="32"/>
        </w:rPr>
        <w:t>Web Interface — Screen Specification</w:t>
      </w:r>
    </w:p>
    <w:p>
      <w:pPr>
        <w:spacing w:after="320"/>
      </w:pPr>
      <w:r>
        <w:rPr>
          <w:rFonts w:ascii="Arial" w:hAnsi="Arial"/>
          <w:color w:val="444444"/>
          <w:sz w:val="20"/>
        </w:rPr>
        <w:t>Version 1.0  ·  June 2026</w:t>
      </w:r>
    </w:p>
    <w:p>
      <w:pPr>
        <w:pBdr>
          <w:bottom w:val="single" w:sz="4" w:color="1A3A60"/>
        </w:pBdr>
        <w:spacing w:before="120" w:after="120"/>
      </w:pPr>
    </w:p>
    <w:p/>
    <w:p>
      <w:pPr>
        <w:pStyle w:val="Heading1"/>
        <w:spacing w:before="280" w:after="80"/>
      </w:pPr>
      <w:r>
        <w:rPr>
          <w:rFonts w:ascii="Arial" w:hAnsi="Arial"/>
          <w:b/>
          <w:color w:val="000000"/>
          <w:sz w:val="32"/>
        </w:rPr>
        <w:t>1. Overview</w:t>
      </w:r>
    </w:p>
    <w:p>
      <w:pPr>
        <w:spacing w:before="40" w:after="40"/>
      </w:pPr>
      <w:r>
        <w:rPr>
          <w:rFonts w:ascii="Arial" w:hAnsi="Arial"/>
          <w:i w:val="0"/>
          <w:sz w:val="20"/>
        </w:rPr>
        <w:t>The web interface is built with Streamlit and exposes six screens accessible via a persistent left-hand sidebar. The sidebar always shows navigation links, screen-specific controls, and live container status at the bottom. The system takes synchronised event (.hdf5) and RGB (.mp4) files as input and outputs reconstructed frames and drone detection results with bounding boxes.</w:t>
      </w:r>
    </w:p>
    <w:p/>
    <w:p>
      <w:pPr>
        <w:pStyle w:val="Heading2"/>
        <w:spacing w:before="200" w:after="80"/>
      </w:pPr>
      <w:r>
        <w:rPr>
          <w:rFonts w:ascii="Arial" w:hAnsi="Arial"/>
          <w:b/>
          <w:color w:val="1A3A60"/>
          <w:sz w:val="26"/>
        </w:rPr>
        <w:t>Architecture summary</w:t>
      </w:r>
    </w:p>
    <w:tbl>
      <w:tblPr>
        <w:tblW w:type="auto" w:w="0"/>
        <w:jc w:val="left"/>
        <w:tblLook w:firstColumn="1" w:firstRow="1" w:lastColumn="0" w:lastRow="0" w:noHBand="0" w:noVBand="1" w:val="04A0"/>
      </w:tblPr>
      <w:tblGrid>
        <w:gridCol w:w="4680"/>
        <w:gridCol w:w="4680"/>
      </w:tblGrid>
      <w:tr>
        <w:tc>
          <w:tcPr>
            <w:tcW w:type="dxa" w:w="4032"/>
            <w:vAlign w:val="center"/>
            <w:shd w:val="clear" w:color="auto" w:fill="1A3A60"/>
            <w:tcBorders>
              <w:top w:val="single" w:sz="4" w:color="1A3A60"/>
              <w:left w:val="single" w:sz="4" w:color="1A3A60"/>
              <w:bottom w:val="single" w:sz="4" w:color="1A3A60"/>
              <w:right w:val="single" w:sz="4" w:color="1A3A60"/>
            </w:tcBorders>
            <w:tcMar>
              <w:top w:w="80" w:type="dxa"/>
              <w:left w:w="80" w:type="dxa"/>
              <w:bottom w:w="80" w:type="dxa"/>
              <w:right w:w="80" w:type="dxa"/>
            </w:tcMar>
          </w:tcPr>
          <w:p>
            <w:r>
              <w:rPr>
                <w:rFonts w:ascii="Arial" w:hAnsi="Arial"/>
                <w:b/>
                <w:color w:val="FFFFFF"/>
                <w:sz w:val="19"/>
              </w:rPr>
              <w:t>Component</w:t>
            </w:r>
          </w:p>
        </w:tc>
        <w:tc>
          <w:tcPr>
            <w:tcW w:type="dxa" w:w="6768"/>
            <w:vAlign w:val="center"/>
            <w:shd w:val="clear" w:color="auto" w:fill="1A3A60"/>
            <w:tcBorders>
              <w:top w:val="single" w:sz="4" w:color="1A3A60"/>
              <w:left w:val="single" w:sz="4" w:color="1A3A60"/>
              <w:bottom w:val="single" w:sz="4" w:color="1A3A60"/>
              <w:right w:val="single" w:sz="4" w:color="1A3A60"/>
            </w:tcBorders>
            <w:tcMar>
              <w:top w:w="80" w:type="dxa"/>
              <w:left w:w="80" w:type="dxa"/>
              <w:bottom w:w="80" w:type="dxa"/>
              <w:right w:w="80" w:type="dxa"/>
            </w:tcMar>
          </w:tcPr>
          <w:p>
            <w:r>
              <w:rPr>
                <w:rFonts w:ascii="Arial" w:hAnsi="Arial"/>
                <w:b/>
                <w:color w:val="FFFFFF"/>
                <w:sz w:val="19"/>
              </w:rPr>
              <w:t>Detail</w:t>
            </w:r>
          </w:p>
        </w:tc>
      </w:tr>
      <w:tr>
        <w:tc>
          <w:tcPr>
            <w:tcW w:type="dxa" w:w="4032"/>
            <w:vAlign w:val="center"/>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Framework</w:t>
            </w:r>
          </w:p>
        </w:tc>
        <w:tc>
          <w:tcPr>
            <w:tcW w:type="dxa" w:w="6768"/>
            <w:vAlign w:val="center"/>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Streamlit</w:t>
            </w:r>
          </w:p>
        </w:tc>
      </w:tr>
      <w:tr>
        <w:tc>
          <w:tcPr>
            <w:tcW w:type="dxa" w:w="4032"/>
            <w:vAlign w:val="center"/>
            <w:shd w:val="clear" w:color="auto" w:fill="EAF1FA"/>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Backend services</w:t>
            </w:r>
          </w:p>
        </w:tc>
        <w:tc>
          <w:tcPr>
            <w:tcW w:type="dxa" w:w="6768"/>
            <w:vAlign w:val="center"/>
            <w:shd w:val="clear" w:color="auto" w:fill="EAF1FA"/>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e2vid (:8001),  HyperE2VID (:8002),  Late fusion (:8003)</w:t>
            </w:r>
          </w:p>
        </w:tc>
      </w:tr>
      <w:tr>
        <w:tc>
          <w:tcPr>
            <w:tcW w:type="dxa" w:w="4032"/>
            <w:vAlign w:val="center"/>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Raw data</w:t>
            </w:r>
          </w:p>
        </w:tc>
        <w:tc>
          <w:tcPr>
            <w:tcW w:type="dxa" w:w="6768"/>
            <w:vAlign w:val="center"/>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FRED sequences mounted at /data/fred  (read-only)</w:t>
            </w:r>
          </w:p>
        </w:tc>
      </w:tr>
      <w:tr>
        <w:tc>
          <w:tcPr>
            <w:tcW w:type="dxa" w:w="4032"/>
            <w:vAlign w:val="center"/>
            <w:shd w:val="clear" w:color="auto" w:fill="EAF1FA"/>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Processed data</w:t>
            </w:r>
          </w:p>
        </w:tc>
        <w:tc>
          <w:tcPr>
            <w:tcW w:type="dxa" w:w="6768"/>
            <w:vAlign w:val="center"/>
            <w:shd w:val="clear" w:color="auto" w:fill="EAF1FA"/>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Reconstructions and JSON cache at /data/recon</w:t>
            </w:r>
          </w:p>
        </w:tc>
      </w:tr>
      <w:tr>
        <w:tc>
          <w:tcPr>
            <w:tcW w:type="dxa" w:w="4032"/>
            <w:vAlign w:val="center"/>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Entry point</w:t>
            </w:r>
          </w:p>
        </w:tc>
        <w:tc>
          <w:tcPr>
            <w:tcW w:type="dxa" w:w="6768"/>
            <w:vAlign w:val="center"/>
            <w:shd w:val="clear" w:color="auto" w:fill="FFFFFF"/>
            <w:tcBorders>
              <w:top w:val="single" w:sz="4" w:color="CCCCCC"/>
              <w:left w:val="single" w:sz="4" w:color="CCCCCC"/>
              <w:bottom w:val="single" w:sz="4" w:color="CCCCCC"/>
              <w:right w:val="single" w:sz="4" w:color="CCCCCC"/>
            </w:tcBorders>
            <w:tcMar>
              <w:top w:w="80" w:type="dxa"/>
              <w:left w:w="80" w:type="dxa"/>
              <w:bottom w:w="80" w:type="dxa"/>
              <w:right w:w="80" w:type="dxa"/>
            </w:tcMar>
          </w:tcPr>
          <w:p>
            <w:r>
              <w:rPr>
                <w:rFonts w:ascii="Arial" w:hAnsi="Arial"/>
                <w:color w:val="000000"/>
                <w:sz w:val="19"/>
              </w:rPr>
              <w:t>http://localhost:8080</w:t>
            </w:r>
          </w:p>
        </w:tc>
      </w:tr>
    </w:tbl>
    <w:p/>
    <w:p>
      <w:pPr>
        <w:pStyle w:val="Heading2"/>
        <w:spacing w:before="200" w:after="80"/>
      </w:pPr>
      <w:r>
        <w:rPr>
          <w:rFonts w:ascii="Arial" w:hAnsi="Arial"/>
          <w:b/>
          <w:color w:val="1A3A60"/>
          <w:sz w:val="26"/>
        </w:rPr>
        <w:t>Persistent sidebar elements (all screens)</w:t>
      </w:r>
    </w:p>
    <w:p>
      <w:pPr>
        <w:spacing w:before="40" w:after="40"/>
      </w:pPr>
      <w:r>
        <w:rPr>
          <w:rFonts w:ascii="Arial" w:hAnsi="Arial"/>
          <w:i w:val="0"/>
          <w:sz w:val="20"/>
        </w:rPr>
        <w:t>The following elements appear in the sidebar on every screen:</w:t>
      </w:r>
    </w:p>
    <w:p>
      <w:pPr>
        <w:pStyle w:val="ListBullet"/>
        <w:spacing w:before="20" w:after="20"/>
        <w:ind w:left="360"/>
      </w:pPr>
      <w:r>
        <w:rPr>
          <w:rFonts w:ascii="Arial" w:hAnsi="Arial"/>
          <w:sz w:val="20"/>
        </w:rPr>
        <w:t>Navigation links: Upload, Reconstruction, Detection, Comparison, KPIs, Admin</w:t>
      </w:r>
    </w:p>
    <w:p>
      <w:pPr>
        <w:pStyle w:val="ListBullet"/>
        <w:spacing w:before="20" w:after="20"/>
        <w:ind w:left="360"/>
      </w:pPr>
      <w:r>
        <w:rPr>
          <w:rFonts w:ascii="Arial" w:hAnsi="Arial"/>
          <w:sz w:val="20"/>
        </w:rPr>
        <w:t>Screen-specific controls (model selector, show selector, split selector, confidence threshold) — inserted below the navigation links for the relevant screen only</w:t>
      </w:r>
    </w:p>
    <w:p>
      <w:pPr>
        <w:pStyle w:val="ListBullet"/>
        <w:spacing w:before="20" w:after="20"/>
        <w:ind w:left="360"/>
      </w:pPr>
      <w:r>
        <w:rPr>
          <w:rFonts w:ascii="Arial" w:hAnsi="Arial"/>
          <w:sz w:val="20"/>
        </w:rPr>
        <w:t>Container status panel pinned at the bottom — one status dot per service (green = running + weights loaded, amber = starting or weights missing, grey = unreachable)</w:t>
      </w:r>
    </w:p>
    <w:p/>
    <w:p>
      <w:pPr>
        <w:pStyle w:val="Heading1"/>
        <w:spacing w:before="280" w:after="80"/>
      </w:pPr>
      <w:r>
        <w:rPr>
          <w:rFonts w:ascii="Arial" w:hAnsi="Arial"/>
          <w:b/>
          <w:color w:val="000000"/>
          <w:sz w:val="32"/>
        </w:rPr>
        <w:t>2. Screens</w:t>
      </w:r>
    </w:p>
    <w:p/>
    <w:p>
      <w:pPr>
        <w:spacing w:before="200" w:after="80"/>
      </w:pPr>
      <w:r>
        <w:rPr>
          <w:rFonts w:ascii="Arial" w:hAnsi="Arial"/>
          <w:b/>
          <w:color w:val="1A3A60"/>
          <w:sz w:val="28"/>
        </w:rPr>
        <w:t>Screen 1: Upload</w:t>
      </w:r>
      <w:r>
        <w:rPr>
          <w:rFonts w:ascii="Arial" w:hAnsi="Arial"/>
          <w:color w:val="185FA5"/>
          <w:sz w:val="20"/>
        </w:rPr>
        <w:t xml:space="preserve">   [entry point]</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ireframe_01_upload.png"/>
                    <pic:cNvPicPr/>
                  </pic:nvPicPr>
                  <pic:blipFill>
                    <a:blip r:embed="rId9"/>
                    <a:stretch>
                      <a:fillRect/>
                    </a:stretch>
                  </pic:blipFill>
                  <pic:spPr>
                    <a:xfrm>
                      <a:off x="0" y="0"/>
                      <a:ext cx="5120640" cy="3200400"/>
                    </a:xfrm>
                    <a:prstGeom prst="rect"/>
                  </pic:spPr>
                </pic:pic>
              </a:graphicData>
            </a:graphic>
          </wp:inline>
        </w:drawing>
      </w:r>
    </w:p>
    <w:p>
      <w:pPr>
        <w:spacing w:before="40" w:after="40"/>
      </w:pPr>
      <w:r>
        <w:rPr>
          <w:rFonts w:ascii="Arial" w:hAnsi="Arial"/>
          <w:i/>
          <w:color w:val="444444"/>
          <w:sz w:val="20"/>
        </w:rPr>
        <w:t>Starting point for every session. The user selects a FRED sequence; the system auto-detects and pairs the event file and RGB video. The user then chooses which pipeline steps to run.</w:t>
      </w:r>
    </w:p>
    <w:p/>
    <w:p>
      <w:pPr>
        <w:pStyle w:val="Heading3"/>
        <w:spacing w:before="200" w:after="80"/>
      </w:pPr>
      <w:r>
        <w:rPr>
          <w:rFonts w:ascii="Arial" w:hAnsi="Arial"/>
          <w:b/>
          <w:color w:val="1A3A60"/>
          <w:sz w:val="22"/>
        </w:rPr>
        <w:t>Sidebar controls</w:t>
      </w:r>
    </w:p>
    <w:p>
      <w:pPr>
        <w:pStyle w:val="ListBullet"/>
        <w:spacing w:before="20" w:after="20"/>
        <w:ind w:left="360"/>
      </w:pPr>
      <w:r>
        <w:rPr>
          <w:rFonts w:ascii="Arial" w:hAnsi="Arial"/>
          <w:sz w:val="20"/>
        </w:rPr>
        <w:t>No screen-specific controls on this screen</w:t>
      </w:r>
    </w:p>
    <w:p>
      <w:pPr>
        <w:pStyle w:val="Heading3"/>
        <w:spacing w:before="200" w:after="80"/>
      </w:pPr>
      <w:r>
        <w:rPr>
          <w:rFonts w:ascii="Arial" w:hAnsi="Arial"/>
          <w:b/>
          <w:color w:val="1A3A60"/>
          <w:sz w:val="22"/>
        </w:rPr>
        <w:t>Main area</w:t>
      </w:r>
    </w:p>
    <w:p>
      <w:pPr>
        <w:pStyle w:val="ListBullet"/>
        <w:spacing w:before="20" w:after="20"/>
        <w:ind w:left="360"/>
      </w:pPr>
      <w:r>
        <w:rPr>
          <w:rFonts w:ascii="Arial" w:hAnsi="Arial"/>
          <w:sz w:val="20"/>
        </w:rPr>
        <w:t>Sequence browser: shows /data/fred/ → Canonical / Challenging folders → sequence sub-folders. Each sequence is tagged 'reconstructed' or 'not reconstructed' based on the contents of /data/recon</w:t>
      </w:r>
    </w:p>
    <w:p>
      <w:pPr>
        <w:pStyle w:val="ListBullet"/>
        <w:spacing w:before="20" w:after="20"/>
        <w:ind w:left="360"/>
      </w:pPr>
      <w:r>
        <w:rPr>
          <w:rFonts w:ascii="Arial" w:hAnsi="Arial"/>
          <w:sz w:val="20"/>
        </w:rPr>
        <w:t>On sequence selection: auto-detects and displays the paired event file (e.g. sequence_0_events.hdf5, tagged 'event') and RGB video file (e.g. sequence_0_rgb.mp4, tagged 'RGB · 30 fps')</w:t>
      </w:r>
    </w:p>
    <w:p>
      <w:pPr>
        <w:pStyle w:val="ListBullet"/>
        <w:spacing w:before="20" w:after="20"/>
        <w:ind w:left="360"/>
      </w:pPr>
      <w:r>
        <w:rPr>
          <w:rFonts w:ascii="Arial" w:hAnsi="Arial"/>
          <w:sz w:val="20"/>
        </w:rPr>
        <w:t>Pipeline step checkboxes: e2vid reconstruction, HyperE2VID reconstruction, Late fusion detection</w:t>
      </w:r>
    </w:p>
    <w:p>
      <w:pPr>
        <w:pStyle w:val="ListBullet"/>
        <w:spacing w:before="20" w:after="20"/>
        <w:ind w:left="360"/>
      </w:pPr>
      <w:r>
        <w:rPr>
          <w:rFonts w:ascii="Arial" w:hAnsi="Arial"/>
          <w:sz w:val="20"/>
        </w:rPr>
        <w:t>Run pipeline button — disabled until a sequence is selected</w:t>
      </w:r>
    </w:p>
    <w:p>
      <w:pPr>
        <w:pStyle w:val="Heading3"/>
        <w:spacing w:before="200" w:after="80"/>
      </w:pPr>
      <w:r>
        <w:rPr>
          <w:rFonts w:ascii="Arial" w:hAnsi="Arial"/>
          <w:b/>
          <w:color w:val="1A3A60"/>
          <w:sz w:val="22"/>
        </w:rPr>
        <w:t>Notes</w:t>
      </w:r>
    </w:p>
    <w:p>
      <w:pPr>
        <w:pStyle w:val="ListBullet"/>
        <w:spacing w:before="20" w:after="20"/>
        <w:ind w:left="360"/>
      </w:pPr>
      <w:r>
        <w:rPr>
          <w:rFonts w:ascii="Arial" w:hAnsi="Arial"/>
          <w:sz w:val="20"/>
        </w:rPr>
        <w:t>The browser path bar updates as the user drills down (e.g. /data/fred/canonical/sequence_0/)</w:t>
      </w:r>
    </w:p>
    <w:p>
      <w:pPr>
        <w:pStyle w:val="ListBullet"/>
        <w:spacing w:before="20" w:after="20"/>
        <w:ind w:left="360"/>
      </w:pPr>
      <w:r>
        <w:rPr>
          <w:rFonts w:ascii="Arial" w:hAnsi="Arial"/>
          <w:sz w:val="20"/>
        </w:rPr>
        <w:t>File pairing is automatic — the user never selects individual files</w:t>
      </w:r>
    </w:p>
    <w:p>
      <w:pPr>
        <w:pStyle w:val="ListBullet"/>
        <w:spacing w:before="20" w:after="20"/>
        <w:ind w:left="360"/>
      </w:pPr>
      <w:r>
        <w:rPr>
          <w:rFonts w:ascii="Arial" w:hAnsi="Arial"/>
          <w:sz w:val="20"/>
        </w:rPr>
        <w:t>Sequences already reconstructed are tagged so the user can skip re-running</w:t>
      </w:r>
    </w:p>
    <w:p>
      <w:pPr>
        <w:pBdr>
          <w:bottom w:val="single" w:sz="4" w:color="CCCCCC"/>
        </w:pBdr>
        <w:spacing w:before="120" w:after="120"/>
      </w:pPr>
    </w:p>
    <w:p/>
    <w:p>
      <w:pPr>
        <w:spacing w:before="200" w:after="80"/>
      </w:pPr>
      <w:r>
        <w:rPr>
          <w:rFonts w:ascii="Arial" w:hAnsi="Arial"/>
          <w:b/>
          <w:color w:val="1A3A60"/>
          <w:sz w:val="28"/>
        </w:rPr>
        <w:t>Screen 2: Reconstruction</w:t>
      </w:r>
      <w:r>
        <w:rPr>
          <w:rFonts w:ascii="Arial" w:hAnsi="Arial"/>
          <w:color w:val="185FA5"/>
          <w:sz w:val="20"/>
        </w:rPr>
        <w:t xml:space="preserve">   [post-run view]</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ireframe_02_reconstruction.png"/>
                    <pic:cNvPicPr/>
                  </pic:nvPicPr>
                  <pic:blipFill>
                    <a:blip r:embed="rId9"/>
                    <a:stretch>
                      <a:fillRect/>
                    </a:stretch>
                  </pic:blipFill>
                  <pic:spPr>
                    <a:xfrm>
                      <a:off x="0" y="0"/>
                      <a:ext cx="5120640" cy="3200400"/>
                    </a:xfrm>
                    <a:prstGeom prst="rect"/>
                  </pic:spPr>
                </pic:pic>
              </a:graphicData>
            </a:graphic>
          </wp:inline>
        </w:drawing>
      </w:r>
    </w:p>
    <w:p>
      <w:pPr>
        <w:spacing w:before="40" w:after="40"/>
      </w:pPr>
      <w:r>
        <w:rPr>
          <w:rFonts w:ascii="Arial" w:hAnsi="Arial"/>
          <w:i/>
          <w:color w:val="444444"/>
          <w:sz w:val="20"/>
        </w:rPr>
        <w:t>Displays reconstructed frames from both e2vid and HyperE2VID side by side for the selected sequence. Includes playback controls.</w:t>
      </w:r>
    </w:p>
    <w:p/>
    <w:p>
      <w:pPr>
        <w:pStyle w:val="Heading3"/>
        <w:spacing w:before="200" w:after="80"/>
      </w:pPr>
      <w:r>
        <w:rPr>
          <w:rFonts w:ascii="Arial" w:hAnsi="Arial"/>
          <w:b/>
          <w:color w:val="1A3A60"/>
          <w:sz w:val="22"/>
        </w:rPr>
        <w:t>Sidebar controls</w:t>
      </w:r>
    </w:p>
    <w:p>
      <w:pPr>
        <w:pStyle w:val="ListBullet"/>
        <w:spacing w:before="20" w:after="20"/>
        <w:ind w:left="360"/>
      </w:pPr>
      <w:r>
        <w:rPr>
          <w:rFonts w:ascii="Arial" w:hAnsi="Arial"/>
          <w:sz w:val="20"/>
        </w:rPr>
        <w:t>Show selector (radio): Both / e2vid only / HyperE2VID only</w:t>
      </w:r>
    </w:p>
    <w:p>
      <w:pPr>
        <w:pStyle w:val="Heading3"/>
        <w:spacing w:before="200" w:after="80"/>
      </w:pPr>
      <w:r>
        <w:rPr>
          <w:rFonts w:ascii="Arial" w:hAnsi="Arial"/>
          <w:b/>
          <w:color w:val="1A3A60"/>
          <w:sz w:val="22"/>
        </w:rPr>
        <w:t>Main area</w:t>
      </w:r>
    </w:p>
    <w:p>
      <w:pPr>
        <w:pStyle w:val="ListBullet"/>
        <w:spacing w:before="20" w:after="20"/>
        <w:ind w:left="360"/>
      </w:pPr>
      <w:r>
        <w:rPr>
          <w:rFonts w:ascii="Arial" w:hAnsi="Arial"/>
          <w:sz w:val="20"/>
        </w:rPr>
        <w:t>Two frame panels side by side: e2vid (left) and HyperE2VID (right), each showing the current reconstructed frame with a frame counter pill (e.g. 'frame 42 / 871')</w:t>
      </w:r>
    </w:p>
    <w:p>
      <w:pPr>
        <w:pStyle w:val="ListBullet"/>
        <w:spacing w:before="20" w:after="20"/>
        <w:ind w:left="360"/>
      </w:pPr>
      <w:r>
        <w:rPr>
          <w:rFonts w:ascii="Arial" w:hAnsi="Arial"/>
          <w:sz w:val="20"/>
        </w:rPr>
        <w:t>Frame footer per panel: throughput in fps, seconds per frame</w:t>
      </w:r>
    </w:p>
    <w:p>
      <w:pPr>
        <w:pStyle w:val="ListBullet"/>
        <w:spacing w:before="20" w:after="20"/>
        <w:ind w:left="360"/>
      </w:pPr>
      <w:r>
        <w:rPr>
          <w:rFonts w:ascii="Arial" w:hAnsi="Arial"/>
          <w:sz w:val="20"/>
        </w:rPr>
        <w:t>Playback controls: Play / Stop buttons and a frame slider (0 to max frame). Play advances the slider automatically; Stop resets to frame 0. The slider can be dragged to any specific frame</w:t>
      </w:r>
    </w:p>
    <w:p>
      <w:pPr>
        <w:pStyle w:val="ListBullet"/>
        <w:spacing w:before="20" w:after="20"/>
        <w:ind w:left="360"/>
      </w:pPr>
      <w:r>
        <w:rPr>
          <w:rFonts w:ascii="Arial" w:hAnsi="Arial"/>
          <w:sz w:val="20"/>
        </w:rPr>
        <w:t>Metric cards below playback: Frames in sequence, Reconstruction runtime, Throughput (fps)</w:t>
      </w:r>
    </w:p>
    <w:p>
      <w:pPr>
        <w:pStyle w:val="Heading3"/>
        <w:spacing w:before="200" w:after="80"/>
      </w:pPr>
      <w:r>
        <w:rPr>
          <w:rFonts w:ascii="Arial" w:hAnsi="Arial"/>
          <w:b/>
          <w:color w:val="1A3A60"/>
          <w:sz w:val="22"/>
        </w:rPr>
        <w:t>Notes</w:t>
      </w:r>
    </w:p>
    <w:p>
      <w:pPr>
        <w:pStyle w:val="ListBullet"/>
        <w:spacing w:before="20" w:after="20"/>
        <w:ind w:left="360"/>
      </w:pPr>
      <w:r>
        <w:rPr>
          <w:rFonts w:ascii="Arial" w:hAnsi="Arial"/>
          <w:sz w:val="20"/>
        </w:rPr>
        <w:t>Throughput is measured on whatever hardware the system runs on — no hardware label is shown</w:t>
      </w:r>
    </w:p>
    <w:p>
      <w:pPr>
        <w:pStyle w:val="ListBullet"/>
        <w:spacing w:before="20" w:after="20"/>
        <w:ind w:left="360"/>
      </w:pPr>
      <w:r>
        <w:rPr>
          <w:rFonts w:ascii="Arial" w:hAnsi="Arial"/>
          <w:sz w:val="20"/>
        </w:rPr>
        <w:t>HyperE2VID panel shows '—' if reconstructions are not yet available for the selected sequence</w:t>
      </w:r>
    </w:p>
    <w:p>
      <w:pPr>
        <w:pBdr>
          <w:bottom w:val="single" w:sz="4" w:color="CCCCCC"/>
        </w:pBdr>
        <w:spacing w:before="120" w:after="120"/>
      </w:pPr>
    </w:p>
    <w:p/>
    <w:p>
      <w:pPr>
        <w:spacing w:before="200" w:after="80"/>
      </w:pPr>
      <w:r>
        <w:rPr>
          <w:rFonts w:ascii="Arial" w:hAnsi="Arial"/>
          <w:b/>
          <w:color w:val="1A3A60"/>
          <w:sz w:val="28"/>
        </w:rPr>
        <w:t>Screen 3: Detection</w:t>
      </w:r>
      <w:r>
        <w:rPr>
          <w:rFonts w:ascii="Arial" w:hAnsi="Arial"/>
          <w:color w:val="185FA5"/>
          <w:sz w:val="20"/>
        </w:rPr>
        <w:t xml:space="preserve">   [single-model view]</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ireframe_03_detection.png"/>
                    <pic:cNvPicPr/>
                  </pic:nvPicPr>
                  <pic:blipFill>
                    <a:blip r:embed="rId9"/>
                    <a:stretch>
                      <a:fillRect/>
                    </a:stretch>
                  </pic:blipFill>
                  <pic:spPr>
                    <a:xfrm>
                      <a:off x="0" y="0"/>
                      <a:ext cx="5120640" cy="3200400"/>
                    </a:xfrm>
                    <a:prstGeom prst="rect"/>
                  </pic:spPr>
                </pic:pic>
              </a:graphicData>
            </a:graphic>
          </wp:inline>
        </w:drawing>
      </w:r>
    </w:p>
    <w:p>
      <w:pPr>
        <w:spacing w:before="40" w:after="40"/>
      </w:pPr>
      <w:r>
        <w:rPr>
          <w:rFonts w:ascii="Arial" w:hAnsi="Arial"/>
          <w:i/>
          <w:color w:val="444444"/>
          <w:sz w:val="20"/>
        </w:rPr>
        <w:t>Shows the output of one selected model on the current sequence. Two panels: the model input frame on the left, and the same frame with detection bounding boxes overlaid on the right.</w:t>
      </w:r>
    </w:p>
    <w:p/>
    <w:p>
      <w:pPr>
        <w:pStyle w:val="Heading3"/>
        <w:spacing w:before="200" w:after="80"/>
      </w:pPr>
      <w:r>
        <w:rPr>
          <w:rFonts w:ascii="Arial" w:hAnsi="Arial"/>
          <w:b/>
          <w:color w:val="1A3A60"/>
          <w:sz w:val="22"/>
        </w:rPr>
        <w:t>Sidebar controls</w:t>
      </w:r>
    </w:p>
    <w:p>
      <w:pPr>
        <w:pStyle w:val="ListBullet"/>
        <w:spacing w:before="20" w:after="20"/>
        <w:ind w:left="360"/>
      </w:pPr>
      <w:r>
        <w:rPr>
          <w:rFonts w:ascii="Arial" w:hAnsi="Arial"/>
          <w:sz w:val="20"/>
        </w:rPr>
        <w:t>Model selector (radio): e2vid + YOLO / HyperE2VID + YOLO / Late fusion</w:t>
      </w:r>
    </w:p>
    <w:p>
      <w:pPr>
        <w:pStyle w:val="ListBullet"/>
        <w:spacing w:before="20" w:after="20"/>
        <w:ind w:left="360"/>
      </w:pPr>
      <w:r>
        <w:rPr>
          <w:rFonts w:ascii="Arial" w:hAnsi="Arial"/>
          <w:sz w:val="20"/>
        </w:rPr>
        <w:t>Confidence threshold slider (0.0 – 1.0), default 0.50</w:t>
      </w:r>
    </w:p>
    <w:p>
      <w:pPr>
        <w:pStyle w:val="Heading3"/>
        <w:spacing w:before="200" w:after="80"/>
      </w:pPr>
      <w:r>
        <w:rPr>
          <w:rFonts w:ascii="Arial" w:hAnsi="Arial"/>
          <w:b/>
          <w:color w:val="1A3A60"/>
          <w:sz w:val="22"/>
        </w:rPr>
        <w:t>Main area</w:t>
      </w:r>
    </w:p>
    <w:p>
      <w:pPr>
        <w:pStyle w:val="ListBullet"/>
        <w:spacing w:before="20" w:after="20"/>
        <w:ind w:left="360"/>
      </w:pPr>
      <w:r>
        <w:rPr>
          <w:rFonts w:ascii="Arial" w:hAnsi="Arial"/>
          <w:sz w:val="20"/>
        </w:rPr>
        <w:t>Left panel — label changes with model: 'Reconstruction (e2vid)', 'Reconstruction (HyperE2VID)', or 'Fusion input'. Shows the greyscale reconstructed frame (reconstruction models) or the combined event + RGB input (late fusion)</w:t>
      </w:r>
    </w:p>
    <w:p>
      <w:pPr>
        <w:pStyle w:val="ListBullet"/>
        <w:spacing w:before="20" w:after="20"/>
        <w:ind w:left="360"/>
      </w:pPr>
      <w:r>
        <w:rPr>
          <w:rFonts w:ascii="Arial" w:hAnsi="Arial"/>
          <w:sz w:val="20"/>
        </w:rPr>
        <w:t>Right panel — 'Detection overlay': same frame with coloured bounding boxes and confidence scores drawn on top</w:t>
      </w:r>
    </w:p>
    <w:p>
      <w:pPr>
        <w:pStyle w:val="ListBullet"/>
        <w:spacing w:before="20" w:after="20"/>
        <w:ind w:left="360"/>
      </w:pPr>
      <w:r>
        <w:rPr>
          <w:rFonts w:ascii="Arial" w:hAnsi="Arial"/>
          <w:sz w:val="20"/>
        </w:rPr>
        <w:t>Playback controls: Play / Stop / frame slider (same behaviour as Reconstruction screen)</w:t>
      </w:r>
    </w:p>
    <w:p>
      <w:pPr>
        <w:pStyle w:val="ListBullet"/>
        <w:spacing w:before="20" w:after="20"/>
        <w:ind w:left="360"/>
      </w:pPr>
      <w:r>
        <w:rPr>
          <w:rFonts w:ascii="Arial" w:hAnsi="Arial"/>
          <w:sz w:val="20"/>
        </w:rPr>
        <w:t>Metric cards: mAP@0.5 (overall, validation set), Precision, Recall</w:t>
      </w:r>
    </w:p>
    <w:p>
      <w:pPr>
        <w:pStyle w:val="Heading3"/>
        <w:spacing w:before="200" w:after="80"/>
      </w:pPr>
      <w:r>
        <w:rPr>
          <w:rFonts w:ascii="Arial" w:hAnsi="Arial"/>
          <w:b/>
          <w:color w:val="1A3A60"/>
          <w:sz w:val="22"/>
        </w:rPr>
        <w:t>Notes</w:t>
      </w:r>
    </w:p>
    <w:p>
      <w:pPr>
        <w:pStyle w:val="ListBullet"/>
        <w:spacing w:before="20" w:after="20"/>
        <w:ind w:left="360"/>
      </w:pPr>
      <w:r>
        <w:rPr>
          <w:rFonts w:ascii="Arial" w:hAnsi="Arial"/>
          <w:sz w:val="20"/>
        </w:rPr>
        <w:t>mAP@0.5, Precision and Recall are pre-computed over the full validation set — they are not per-frame values</w:t>
      </w:r>
    </w:p>
    <w:p>
      <w:pPr>
        <w:pStyle w:val="ListBullet"/>
        <w:spacing w:before="20" w:after="20"/>
        <w:ind w:left="360"/>
      </w:pPr>
      <w:r>
        <w:rPr>
          <w:rFonts w:ascii="Arial" w:hAnsi="Arial"/>
          <w:sz w:val="20"/>
        </w:rPr>
        <w:t>Precision: fraction of all detections that were correct (false alarms reduce this)</w:t>
      </w:r>
    </w:p>
    <w:p>
      <w:pPr>
        <w:pStyle w:val="ListBullet"/>
        <w:spacing w:before="20" w:after="20"/>
        <w:ind w:left="360"/>
      </w:pPr>
      <w:r>
        <w:rPr>
          <w:rFonts w:ascii="Arial" w:hAnsi="Arial"/>
          <w:sz w:val="20"/>
        </w:rPr>
        <w:t>Recall: fraction of all actual drones that were detected (missed drones reduce this)</w:t>
      </w:r>
    </w:p>
    <w:p>
      <w:pPr>
        <w:pStyle w:val="ListBullet"/>
        <w:spacing w:before="20" w:after="20"/>
        <w:ind w:left="360"/>
      </w:pPr>
      <w:r>
        <w:rPr>
          <w:rFonts w:ascii="Arial" w:hAnsi="Arial"/>
          <w:sz w:val="20"/>
        </w:rPr>
        <w:t>The confidence threshold adjusts the detection overlay live; metric cards reflect the threshold used at training evaluation time</w:t>
      </w:r>
    </w:p>
    <w:p>
      <w:pPr>
        <w:pBdr>
          <w:bottom w:val="single" w:sz="4" w:color="CCCCCC"/>
        </w:pBdr>
        <w:spacing w:before="120" w:after="120"/>
      </w:pPr>
    </w:p>
    <w:p/>
    <w:p>
      <w:pPr>
        <w:spacing w:before="200" w:after="80"/>
      </w:pPr>
      <w:r>
        <w:rPr>
          <w:rFonts w:ascii="Arial" w:hAnsi="Arial"/>
          <w:b/>
          <w:color w:val="1A3A60"/>
          <w:sz w:val="28"/>
        </w:rPr>
        <w:t>Screen 4: Comparison</w:t>
      </w:r>
      <w:r>
        <w:rPr>
          <w:rFonts w:ascii="Arial" w:hAnsi="Arial"/>
          <w:color w:val="185FA5"/>
          <w:sz w:val="20"/>
        </w:rPr>
        <w:t xml:space="preserve">   [all models side by side]</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ireframe_04_comparison.png"/>
                    <pic:cNvPicPr/>
                  </pic:nvPicPr>
                  <pic:blipFill>
                    <a:blip r:embed="rId9"/>
                    <a:stretch>
                      <a:fillRect/>
                    </a:stretch>
                  </pic:blipFill>
                  <pic:spPr>
                    <a:xfrm>
                      <a:off x="0" y="0"/>
                      <a:ext cx="5120640" cy="3200400"/>
                    </a:xfrm>
                    <a:prstGeom prst="rect"/>
                  </pic:spPr>
                </pic:pic>
              </a:graphicData>
            </a:graphic>
          </wp:inline>
        </w:drawing>
      </w:r>
    </w:p>
    <w:p>
      <w:pPr>
        <w:spacing w:before="40" w:after="40"/>
      </w:pPr>
      <w:r>
        <w:rPr>
          <w:rFonts w:ascii="Arial" w:hAnsi="Arial"/>
          <w:i/>
          <w:color w:val="444444"/>
          <w:sz w:val="20"/>
        </w:rPr>
        <w:t>Shows all three models simultaneously on the same frame, with a shared playback slider that keeps all views in sync. Enables direct visual comparison of detection results.</w:t>
      </w:r>
    </w:p>
    <w:p/>
    <w:p>
      <w:pPr>
        <w:pStyle w:val="Heading3"/>
        <w:spacing w:before="200" w:after="80"/>
      </w:pPr>
      <w:r>
        <w:rPr>
          <w:rFonts w:ascii="Arial" w:hAnsi="Arial"/>
          <w:b/>
          <w:color w:val="1A3A60"/>
          <w:sz w:val="22"/>
        </w:rPr>
        <w:t>Sidebar controls</w:t>
      </w:r>
    </w:p>
    <w:p>
      <w:pPr>
        <w:pStyle w:val="ListBullet"/>
        <w:spacing w:before="20" w:after="20"/>
        <w:ind w:left="360"/>
      </w:pPr>
      <w:r>
        <w:rPr>
          <w:rFonts w:ascii="Arial" w:hAnsi="Arial"/>
          <w:sz w:val="20"/>
        </w:rPr>
        <w:t>Split selector (radio): Canonical / Challenging</w:t>
      </w:r>
    </w:p>
    <w:p>
      <w:pPr>
        <w:pStyle w:val="ListBullet"/>
        <w:spacing w:before="20" w:after="20"/>
        <w:ind w:left="360"/>
      </w:pPr>
      <w:r>
        <w:rPr>
          <w:rFonts w:ascii="Arial" w:hAnsi="Arial"/>
          <w:sz w:val="20"/>
        </w:rPr>
        <w:t>Confidence threshold slider (0.0 – 1.0), default 0.50</w:t>
      </w:r>
    </w:p>
    <w:p>
      <w:pPr>
        <w:pStyle w:val="Heading3"/>
        <w:spacing w:before="200" w:after="80"/>
      </w:pPr>
      <w:r>
        <w:rPr>
          <w:rFonts w:ascii="Arial" w:hAnsi="Arial"/>
          <w:b/>
          <w:color w:val="1A3A60"/>
          <w:sz w:val="22"/>
        </w:rPr>
        <w:t>Main area</w:t>
      </w:r>
    </w:p>
    <w:p>
      <w:pPr>
        <w:pStyle w:val="ListBullet"/>
        <w:spacing w:before="20" w:after="20"/>
        <w:ind w:left="360"/>
      </w:pPr>
      <w:r>
        <w:rPr>
          <w:rFonts w:ascii="Arial" w:hAnsi="Arial"/>
          <w:sz w:val="20"/>
        </w:rPr>
        <w:t>Three panels side by side: e2vid + YOLO (left), HyperE2VID + YOLO (centre), Late fusion (right). Each panel shows the detection overlay for that model on the current frame</w:t>
      </w:r>
    </w:p>
    <w:p>
      <w:pPr>
        <w:pStyle w:val="ListBullet"/>
        <w:spacing w:before="20" w:after="20"/>
        <w:ind w:left="360"/>
      </w:pPr>
      <w:r>
        <w:rPr>
          <w:rFonts w:ascii="Arial" w:hAnsi="Arial"/>
          <w:sz w:val="20"/>
        </w:rPr>
        <w:t>Per-panel metric summary below each frame: mAP@0.5, Precision, Recall, fps</w:t>
      </w:r>
    </w:p>
    <w:p>
      <w:pPr>
        <w:pStyle w:val="ListBullet"/>
        <w:spacing w:before="20" w:after="20"/>
        <w:ind w:left="360"/>
      </w:pPr>
      <w:r>
        <w:rPr>
          <w:rFonts w:ascii="Arial" w:hAnsi="Arial"/>
          <w:sz w:val="20"/>
        </w:rPr>
        <w:t>Shared playback controls: Play / Stop / frame slider with note 'All views synched'</w:t>
      </w:r>
    </w:p>
    <w:p>
      <w:pPr>
        <w:pStyle w:val="Heading3"/>
        <w:spacing w:before="200" w:after="80"/>
      </w:pPr>
      <w:r>
        <w:rPr>
          <w:rFonts w:ascii="Arial" w:hAnsi="Arial"/>
          <w:b/>
          <w:color w:val="1A3A60"/>
          <w:sz w:val="22"/>
        </w:rPr>
        <w:t>Notes</w:t>
      </w:r>
    </w:p>
    <w:p>
      <w:pPr>
        <w:pStyle w:val="ListBullet"/>
        <w:spacing w:before="20" w:after="20"/>
        <w:ind w:left="360"/>
      </w:pPr>
      <w:r>
        <w:rPr>
          <w:rFonts w:ascii="Arial" w:hAnsi="Arial"/>
          <w:sz w:val="20"/>
        </w:rPr>
        <w:t>All three panels advance to the same frame when the slider moves or Play is active</w:t>
      </w:r>
    </w:p>
    <w:p>
      <w:pPr>
        <w:pStyle w:val="ListBullet"/>
        <w:spacing w:before="20" w:after="20"/>
        <w:ind w:left="360"/>
      </w:pPr>
      <w:r>
        <w:rPr>
          <w:rFonts w:ascii="Arial" w:hAnsi="Arial"/>
          <w:sz w:val="20"/>
        </w:rPr>
        <w:t>Panels for models not yet trained show '—' for all metrics</w:t>
      </w:r>
    </w:p>
    <w:p>
      <w:pPr>
        <w:pStyle w:val="ListBullet"/>
        <w:spacing w:before="20" w:after="20"/>
        <w:ind w:left="360"/>
      </w:pPr>
      <w:r>
        <w:rPr>
          <w:rFonts w:ascii="Arial" w:hAnsi="Arial"/>
          <w:sz w:val="20"/>
        </w:rPr>
        <w:t>The split selector changes which validation set the metrics are drawn from (Canonical = standard 80/20; Challenging = distribution-shifted test)</w:t>
      </w:r>
    </w:p>
    <w:p>
      <w:pPr>
        <w:pBdr>
          <w:bottom w:val="single" w:sz="4" w:color="CCCCCC"/>
        </w:pBdr>
        <w:spacing w:before="120" w:after="120"/>
      </w:pPr>
    </w:p>
    <w:p/>
    <w:p>
      <w:pPr>
        <w:spacing w:before="200" w:after="80"/>
      </w:pPr>
      <w:r>
        <w:rPr>
          <w:rFonts w:ascii="Arial" w:hAnsi="Arial"/>
          <w:b/>
          <w:color w:val="1A3A60"/>
          <w:sz w:val="28"/>
        </w:rPr>
        <w:t>Screen 5: KPIs</w:t>
      </w:r>
      <w:r>
        <w:rPr>
          <w:rFonts w:ascii="Arial" w:hAnsi="Arial"/>
          <w:color w:val="185FA5"/>
          <w:sz w:val="20"/>
        </w:rPr>
        <w:t xml:space="preserve">   [static results tables]</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ireframe_05_kpis.png"/>
                    <pic:cNvPicPr/>
                  </pic:nvPicPr>
                  <pic:blipFill>
                    <a:blip r:embed="rId9"/>
                    <a:stretch>
                      <a:fillRect/>
                    </a:stretch>
                  </pic:blipFill>
                  <pic:spPr>
                    <a:xfrm>
                      <a:off x="0" y="0"/>
                      <a:ext cx="5120640" cy="3200400"/>
                    </a:xfrm>
                    <a:prstGeom prst="rect"/>
                  </pic:spPr>
                </pic:pic>
              </a:graphicData>
            </a:graphic>
          </wp:inline>
        </w:drawing>
      </w:r>
    </w:p>
    <w:p>
      <w:pPr>
        <w:spacing w:before="40" w:after="40"/>
      </w:pPr>
      <w:r>
        <w:rPr>
          <w:rFonts w:ascii="Arial" w:hAnsi="Arial"/>
          <w:i/>
          <w:color w:val="444444"/>
          <w:sz w:val="20"/>
        </w:rPr>
        <w:t>Read-only screen showing detection accuracy and compute KPIs for all models, compared against the FRED paper baselines.</w:t>
      </w:r>
    </w:p>
    <w:p/>
    <w:p>
      <w:pPr>
        <w:pStyle w:val="Heading3"/>
        <w:spacing w:before="200" w:after="80"/>
      </w:pPr>
      <w:r>
        <w:rPr>
          <w:rFonts w:ascii="Arial" w:hAnsi="Arial"/>
          <w:b/>
          <w:color w:val="1A3A60"/>
          <w:sz w:val="22"/>
        </w:rPr>
        <w:t>Sidebar controls</w:t>
      </w:r>
    </w:p>
    <w:p>
      <w:pPr>
        <w:pStyle w:val="ListBullet"/>
        <w:spacing w:before="20" w:after="20"/>
        <w:ind w:left="360"/>
      </w:pPr>
      <w:r>
        <w:rPr>
          <w:rFonts w:ascii="Arial" w:hAnsi="Arial"/>
          <w:sz w:val="20"/>
        </w:rPr>
        <w:t>No screen-specific controls</w:t>
      </w:r>
    </w:p>
    <w:p>
      <w:pPr>
        <w:pStyle w:val="Heading3"/>
        <w:spacing w:before="200" w:after="80"/>
      </w:pPr>
      <w:r>
        <w:rPr>
          <w:rFonts w:ascii="Arial" w:hAnsi="Arial"/>
          <w:b/>
          <w:color w:val="1A3A60"/>
          <w:sz w:val="22"/>
        </w:rPr>
        <w:t>Main area</w:t>
      </w:r>
    </w:p>
    <w:p>
      <w:pPr>
        <w:pStyle w:val="ListBullet"/>
        <w:spacing w:before="20" w:after="20"/>
        <w:ind w:left="360"/>
      </w:pPr>
      <w:r>
        <w:rPr>
          <w:rFonts w:ascii="Arial" w:hAnsi="Arial"/>
          <w:sz w:val="20"/>
        </w:rPr>
        <w:t>Detection accuracy table — columns: Model, Modality, Can. mAP@0.5, Can. mAP@0.5:95, Chall. mAP@0.5, Chall. mAP@0.5:95. Top rows (shaded) show our three models; lower rows show FRED paper baselines (YOLOv11 event-only at 87.7 / 49.3, ER-DETR event+RGB at 78.6 / 32.2)</w:t>
      </w:r>
    </w:p>
    <w:p>
      <w:pPr>
        <w:pStyle w:val="ListBullet"/>
        <w:spacing w:before="20" w:after="20"/>
        <w:ind w:left="360"/>
      </w:pPr>
      <w:r>
        <w:rPr>
          <w:rFonts w:ascii="Arial" w:hAnsi="Arial"/>
          <w:sz w:val="20"/>
        </w:rPr>
        <w:t>Compute KPIs table — columns: Step, Model, Frames, Reconstruction runtime, Throughput, Training epochs. Rows for each reconstruction run and each training run</w:t>
      </w:r>
    </w:p>
    <w:p>
      <w:pPr>
        <w:pStyle w:val="Heading3"/>
        <w:spacing w:before="200" w:after="80"/>
      </w:pPr>
      <w:r>
        <w:rPr>
          <w:rFonts w:ascii="Arial" w:hAnsi="Arial"/>
          <w:b/>
          <w:color w:val="1A3A60"/>
          <w:sz w:val="22"/>
        </w:rPr>
        <w:t>Notes</w:t>
      </w:r>
    </w:p>
    <w:p>
      <w:pPr>
        <w:pStyle w:val="ListBullet"/>
        <w:spacing w:before="20" w:after="20"/>
        <w:ind w:left="360"/>
      </w:pPr>
      <w:r>
        <w:rPr>
          <w:rFonts w:ascii="Arial" w:hAnsi="Arial"/>
          <w:sz w:val="20"/>
        </w:rPr>
        <w:t>mAP@0.5:95 is the stricter COCO-style metric, averaged across IoU thresholds 0.50–0.95 in steps of 0.05. It penalises imprecise bounding boxes more heavily than mAP@0.5</w:t>
      </w:r>
    </w:p>
    <w:p>
      <w:pPr>
        <w:pStyle w:val="ListBullet"/>
        <w:spacing w:before="20" w:after="20"/>
        <w:ind w:left="360"/>
      </w:pPr>
      <w:r>
        <w:rPr>
          <w:rFonts w:ascii="Arial" w:hAnsi="Arial"/>
          <w:sz w:val="20"/>
        </w:rPr>
        <w:t>Empty cells (—) are placeholders for models not yet trained</w:t>
      </w:r>
    </w:p>
    <w:p>
      <w:pPr>
        <w:pStyle w:val="ListBullet"/>
        <w:spacing w:before="20" w:after="20"/>
        <w:ind w:left="360"/>
      </w:pPr>
      <w:r>
        <w:rPr>
          <w:rFonts w:ascii="Arial" w:hAnsi="Arial"/>
          <w:sz w:val="20"/>
        </w:rPr>
        <w:t>This screen can be static (values hardcoded from a results JSON/CSV) or live (read from file at runtime) — to be decided by the team</w:t>
      </w:r>
    </w:p>
    <w:p>
      <w:pPr>
        <w:pBdr>
          <w:bottom w:val="single" w:sz="4" w:color="CCCCCC"/>
        </w:pBdr>
        <w:spacing w:before="120" w:after="120"/>
      </w:pPr>
    </w:p>
    <w:p/>
    <w:p>
      <w:pPr>
        <w:spacing w:before="200" w:after="80"/>
      </w:pPr>
      <w:r>
        <w:rPr>
          <w:rFonts w:ascii="Arial" w:hAnsi="Arial"/>
          <w:b/>
          <w:color w:val="1A3A60"/>
          <w:sz w:val="28"/>
        </w:rPr>
        <w:t>Screen 6: Admin</w:t>
      </w:r>
      <w:r>
        <w:rPr>
          <w:rFonts w:ascii="Arial" w:hAnsi="Arial"/>
          <w:color w:val="185FA5"/>
          <w:sz w:val="20"/>
        </w:rPr>
        <w:t xml:space="preserve">   [system status and configuration]</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ireframe_06_admin.png"/>
                    <pic:cNvPicPr/>
                  </pic:nvPicPr>
                  <pic:blipFill>
                    <a:blip r:embed="rId9"/>
                    <a:stretch>
                      <a:fillRect/>
                    </a:stretch>
                  </pic:blipFill>
                  <pic:spPr>
                    <a:xfrm>
                      <a:off x="0" y="0"/>
                      <a:ext cx="5120640" cy="3200400"/>
                    </a:xfrm>
                    <a:prstGeom prst="rect"/>
                  </pic:spPr>
                </pic:pic>
              </a:graphicData>
            </a:graphic>
          </wp:inline>
        </w:drawing>
      </w:r>
    </w:p>
    <w:p>
      <w:pPr>
        <w:spacing w:before="40" w:after="40"/>
      </w:pPr>
      <w:r>
        <w:rPr>
          <w:rFonts w:ascii="Arial" w:hAnsi="Arial"/>
          <w:i/>
          <w:color w:val="444444"/>
          <w:sz w:val="20"/>
        </w:rPr>
        <w:t>Operational screen showing service health, data volume status, and model configuration. Content merged from the existing Streamlit skeleton.</w:t>
      </w:r>
    </w:p>
    <w:p/>
    <w:p>
      <w:pPr>
        <w:pStyle w:val="Heading3"/>
        <w:spacing w:before="200" w:after="80"/>
      </w:pPr>
      <w:r>
        <w:rPr>
          <w:rFonts w:ascii="Arial" w:hAnsi="Arial"/>
          <w:b/>
          <w:color w:val="1A3A60"/>
          <w:sz w:val="22"/>
        </w:rPr>
        <w:t>Sidebar controls</w:t>
      </w:r>
    </w:p>
    <w:p>
      <w:pPr>
        <w:pStyle w:val="ListBullet"/>
        <w:spacing w:before="20" w:after="20"/>
        <w:ind w:left="360"/>
      </w:pPr>
      <w:r>
        <w:rPr>
          <w:rFonts w:ascii="Arial" w:hAnsi="Arial"/>
          <w:sz w:val="20"/>
        </w:rPr>
        <w:t>No screen-specific controls</w:t>
      </w:r>
    </w:p>
    <w:p>
      <w:pPr>
        <w:pStyle w:val="Heading3"/>
        <w:spacing w:before="200" w:after="80"/>
      </w:pPr>
      <w:r>
        <w:rPr>
          <w:rFonts w:ascii="Arial" w:hAnsi="Arial"/>
          <w:b/>
          <w:color w:val="1A3A60"/>
          <w:sz w:val="22"/>
        </w:rPr>
        <w:t>Main area</w:t>
      </w:r>
    </w:p>
    <w:p>
      <w:pPr>
        <w:pStyle w:val="ListBullet"/>
        <w:spacing w:before="20" w:after="20"/>
        <w:ind w:left="360"/>
      </w:pPr>
      <w:r>
        <w:rPr>
          <w:rFonts w:ascii="Arial" w:hAnsi="Arial"/>
          <w:sz w:val="20"/>
        </w:rPr>
        <w:t>Service health card — one row per service (e2vid :8001, HyperE2VID :8002, Fusion :8003). Each row shows a status dot (green / amber / grey), service name, port, detail string ('weights loaded', 'weights missing', 'unreachable'), and a Restart button</w:t>
      </w:r>
    </w:p>
    <w:p>
      <w:pPr>
        <w:pStyle w:val="ListBullet"/>
        <w:spacing w:before="20" w:after="20"/>
        <w:ind w:left="360"/>
      </w:pPr>
      <w:r>
        <w:rPr>
          <w:rFonts w:ascii="Arial" w:hAnsi="Arial"/>
          <w:sz w:val="20"/>
        </w:rPr>
        <w:t>Data paths card: FRED_DATA_PATH (/data/fred) and RECON_DATA_PATH (/data/recon)</w:t>
      </w:r>
    </w:p>
    <w:p>
      <w:pPr>
        <w:pStyle w:val="ListBullet"/>
        <w:spacing w:before="20" w:after="20"/>
        <w:ind w:left="360"/>
      </w:pPr>
      <w:r>
        <w:rPr>
          <w:rFonts w:ascii="Arial" w:hAnsi="Arial"/>
          <w:sz w:val="20"/>
        </w:rPr>
        <w:t>Data volumes card: count of FRED sequences found; per-sequence badges (green = reconstructed, amber = not yet); e2vid and HyperE2VID reconstruction readiness per sequence</w:t>
      </w:r>
    </w:p>
    <w:p>
      <w:pPr>
        <w:pStyle w:val="ListBullet"/>
        <w:spacing w:before="20" w:after="20"/>
        <w:ind w:left="360"/>
      </w:pPr>
      <w:r>
        <w:rPr>
          <w:rFonts w:ascii="Arial" w:hAnsi="Arial"/>
          <w:sz w:val="20"/>
        </w:rPr>
        <w:t>Model settings card: Dataset image size (1280 × 720 px), Default YOLO inference image size (640 × 640 px), file paths to e2vid weights, HyperE2VID weights, and late fusion weights</w:t>
      </w:r>
    </w:p>
    <w:p>
      <w:pPr>
        <w:pStyle w:val="Heading3"/>
        <w:spacing w:before="200" w:after="80"/>
      </w:pPr>
      <w:r>
        <w:rPr>
          <w:rFonts w:ascii="Arial" w:hAnsi="Arial"/>
          <w:b/>
          <w:color w:val="1A3A60"/>
          <w:sz w:val="22"/>
        </w:rPr>
        <w:t>Notes</w:t>
      </w:r>
    </w:p>
    <w:p>
      <w:pPr>
        <w:pStyle w:val="ListBullet"/>
        <w:spacing w:before="20" w:after="20"/>
        <w:ind w:left="360"/>
      </w:pPr>
      <w:r>
        <w:rPr>
          <w:rFonts w:ascii="Arial" w:hAnsi="Arial"/>
          <w:sz w:val="20"/>
        </w:rPr>
        <w:t>Service health is polled from each service's /health endpoint at page load (timeout 2 s)</w:t>
      </w:r>
    </w:p>
    <w:p>
      <w:pPr>
        <w:pStyle w:val="ListBullet"/>
        <w:spacing w:before="20" w:after="20"/>
        <w:ind w:left="360"/>
      </w:pPr>
      <w:r>
        <w:rPr>
          <w:rFonts w:ascii="Arial" w:hAnsi="Arial"/>
          <w:sz w:val="20"/>
        </w:rPr>
        <w:t>The 'weights loaded' flag comes from the health response field weights_loaded</w:t>
      </w:r>
    </w:p>
    <w:p>
      <w:pPr>
        <w:pStyle w:val="ListBullet"/>
        <w:spacing w:before="20" w:after="20"/>
        <w:ind w:left="360"/>
      </w:pPr>
      <w:r>
        <w:rPr>
          <w:rFonts w:ascii="Arial" w:hAnsi="Arial"/>
          <w:sz w:val="20"/>
        </w:rPr>
        <w:t>Dataset image size = native FRED camera resolution. YOLO inference image size = resolution YOLO resizes each frame to internally. Larger inference size improves detection of small/distant drones at the cost of speed</w:t>
      </w:r>
    </w:p>
    <w:p>
      <w:pPr>
        <w:pStyle w:val="ListBullet"/>
        <w:spacing w:before="20" w:after="20"/>
        <w:ind w:left="360"/>
      </w:pPr>
      <w:r>
        <w:rPr>
          <w:rFonts w:ascii="Arial" w:hAnsi="Arial"/>
          <w:sz w:val="20"/>
        </w:rPr>
        <w:t>Restart buttons are aspirational in v1 — implementation requires Docker socket access from the web service</w:t>
      </w:r>
    </w:p>
    <w:p>
      <w:pPr>
        <w:pBdr>
          <w:bottom w:val="single" w:sz="4" w:color="CCCCCC"/>
        </w:pBdr>
        <w:spacing w:before="120" w:after="12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