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059FE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根据甲方视角对合同条款的全面审查，以下是存在的高风险条款及修改建议：</w:t>
      </w:r>
    </w:p>
    <w:p w14:paraId="106941D0" w14:textId="77777777" w:rsidR="00B139DF" w:rsidRDefault="00B139DF" w:rsidP="00B139DF">
      <w:pPr>
        <w:rPr>
          <w:rFonts w:hint="eastAsia"/>
        </w:rPr>
      </w:pPr>
    </w:p>
    <w:p w14:paraId="310E888D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### 一、主体信息与格式问题</w:t>
      </w:r>
    </w:p>
    <w:p w14:paraId="159967B6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1. **担保方信息缺失**  </w:t>
      </w:r>
    </w:p>
    <w:p w14:paraId="392C6678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担保方1（代理商大股东）姓名、身份证号等关键信息未填写，导致担保条款无效。</w:t>
      </w:r>
    </w:p>
    <w:p w14:paraId="7763C9A8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**建议**：要求补充完整担保方身份信息并签署担保协议附件。</w:t>
      </w:r>
    </w:p>
    <w:p w14:paraId="4A3C177C" w14:textId="77777777" w:rsidR="00B139DF" w:rsidRDefault="00B139DF" w:rsidP="00B139DF">
      <w:pPr>
        <w:rPr>
          <w:rFonts w:hint="eastAsia"/>
        </w:rPr>
      </w:pPr>
    </w:p>
    <w:p w14:paraId="7E5DC7C9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2. **日期矛盾**  </w:t>
      </w:r>
    </w:p>
    <w:p w14:paraId="6EC65EC1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合同版本为"2019年4月版"，但首付款支付时间约定为"2019年12月26日"，与合同签订时间逻辑冲突。</w:t>
      </w:r>
    </w:p>
    <w:p w14:paraId="4B2E1251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**建议**：核实合同版本日期与履约时间线，避免法律效力争议。</w:t>
      </w:r>
    </w:p>
    <w:p w14:paraId="41817F2C" w14:textId="77777777" w:rsidR="00B139DF" w:rsidRDefault="00B139DF" w:rsidP="00B139DF">
      <w:pPr>
        <w:rPr>
          <w:rFonts w:hint="eastAsia"/>
        </w:rPr>
      </w:pPr>
    </w:p>
    <w:p w14:paraId="1FF89B58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---</w:t>
      </w:r>
    </w:p>
    <w:p w14:paraId="1F6C4913" w14:textId="77777777" w:rsidR="00B139DF" w:rsidRDefault="00B139DF" w:rsidP="00B139DF">
      <w:pPr>
        <w:rPr>
          <w:rFonts w:hint="eastAsia"/>
        </w:rPr>
      </w:pPr>
    </w:p>
    <w:p w14:paraId="183C2A08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### 二、核心履约条款风险</w:t>
      </w:r>
    </w:p>
    <w:p w14:paraId="57253D5C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3. **付款条款不明确**  </w:t>
      </w:r>
    </w:p>
    <w:p w14:paraId="4AAFE510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首付款金额与定金关系未明确，余款分"1期"支付但未约定具体时间节点（仅模糊表述"2020年2月起"）。</w:t>
      </w:r>
    </w:p>
    <w:p w14:paraId="58F36D34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**建议**：①明确"定金"性质（是否适用定金罚则）；②细化分期付款时间表（如每月X日前支付XX万元）。</w:t>
      </w:r>
    </w:p>
    <w:p w14:paraId="0DB14E4B" w14:textId="77777777" w:rsidR="00B139DF" w:rsidRDefault="00B139DF" w:rsidP="00B139DF">
      <w:pPr>
        <w:rPr>
          <w:rFonts w:hint="eastAsia"/>
        </w:rPr>
      </w:pPr>
    </w:p>
    <w:p w14:paraId="66154406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4. **验收条款过度倾向卖方**  </w:t>
      </w:r>
    </w:p>
    <w:p w14:paraId="58DF7D89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第5.5条：买方未在24小时内验收即视为合格，且提车后无论是否验收均视为合格，剥夺买方合理检验期。</w:t>
      </w:r>
    </w:p>
    <w:p w14:paraId="10DFC511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**建议**：延长验收期至72小时，并补充"买方书面提出质量异议的除外"条款。</w:t>
      </w:r>
    </w:p>
    <w:p w14:paraId="7397DDE9" w14:textId="77777777" w:rsidR="00B139DF" w:rsidRDefault="00B139DF" w:rsidP="00B139DF">
      <w:pPr>
        <w:rPr>
          <w:rFonts w:hint="eastAsia"/>
        </w:rPr>
      </w:pPr>
    </w:p>
    <w:p w14:paraId="24293173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5. **所有权保留条款执行风险**  </w:t>
      </w:r>
    </w:p>
    <w:p w14:paraId="5B5AE1B7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lastRenderedPageBreak/>
        <w:t xml:space="preserve">   - 第8条约定设备登记在买方名下但所有权归卖方，可能因《民法典》第641条导致对抗善意第三人效力不足。</w:t>
      </w:r>
    </w:p>
    <w:p w14:paraId="48921A9F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**建议**：①增加所有权保留登记公示条款；②约定买方需配合办理抵押登记作为补充担保。</w:t>
      </w:r>
    </w:p>
    <w:p w14:paraId="28142A3E" w14:textId="77777777" w:rsidR="00B139DF" w:rsidRDefault="00B139DF" w:rsidP="00B139DF">
      <w:pPr>
        <w:rPr>
          <w:rFonts w:hint="eastAsia"/>
        </w:rPr>
      </w:pPr>
    </w:p>
    <w:p w14:paraId="28A55641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---</w:t>
      </w:r>
    </w:p>
    <w:p w14:paraId="69EACB43" w14:textId="77777777" w:rsidR="00B139DF" w:rsidRDefault="00B139DF" w:rsidP="00B139DF">
      <w:pPr>
        <w:rPr>
          <w:rFonts w:hint="eastAsia"/>
        </w:rPr>
      </w:pPr>
    </w:p>
    <w:p w14:paraId="6F84A666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### 三、违约责任失衡</w:t>
      </w:r>
    </w:p>
    <w:p w14:paraId="4EF087D2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6. **违约金计算标准过高**  </w:t>
      </w:r>
    </w:p>
    <w:p w14:paraId="7C976B5C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买方逾期付款违约金为日万分之六（</w:t>
      </w:r>
      <w:proofErr w:type="gramStart"/>
      <w:r>
        <w:rPr>
          <w:rFonts w:hint="eastAsia"/>
        </w:rPr>
        <w:t>年化</w:t>
      </w:r>
      <w:proofErr w:type="gramEnd"/>
      <w:r>
        <w:rPr>
          <w:rFonts w:hint="eastAsia"/>
        </w:rPr>
        <w:t>21.9%），远超LPR四倍（现行约14.6%），可能被法院调整。</w:t>
      </w:r>
    </w:p>
    <w:p w14:paraId="57FEB416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**建议**：将违约金下调至年利率14%以内（如日万分之四）。</w:t>
      </w:r>
    </w:p>
    <w:p w14:paraId="614FA002" w14:textId="77777777" w:rsidR="00B139DF" w:rsidRDefault="00B139DF" w:rsidP="00B139DF">
      <w:pPr>
        <w:rPr>
          <w:rFonts w:hint="eastAsia"/>
        </w:rPr>
      </w:pPr>
    </w:p>
    <w:p w14:paraId="46BA5BC5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7. **评估价公式显失公平**  </w:t>
      </w:r>
    </w:p>
    <w:p w14:paraId="765F75BF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第13.3条评估价=发票金额÷6×(6-使用天数/365)，假设设备残值随年限线性递减，但工程机械实际折旧率更高。</w:t>
      </w:r>
    </w:p>
    <w:p w14:paraId="473510C7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**建议**：采用行业通用折旧率（如按年折旧率20%-30%）或约定第三方评估机构介入。</w:t>
      </w:r>
    </w:p>
    <w:p w14:paraId="59D18DD0" w14:textId="77777777" w:rsidR="00B139DF" w:rsidRDefault="00B139DF" w:rsidP="00B139DF">
      <w:pPr>
        <w:rPr>
          <w:rFonts w:hint="eastAsia"/>
        </w:rPr>
      </w:pPr>
    </w:p>
    <w:p w14:paraId="573A5780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8. **单方解除权滥用风险**  </w:t>
      </w:r>
    </w:p>
    <w:p w14:paraId="743BBBC3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第14.2条：买方轻微违约（如未按时提交文件）即可触发卖方单方解除权，违反比例原则。</w:t>
      </w:r>
    </w:p>
    <w:p w14:paraId="329F281E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**建议**：增设"根本违约"前提，如逾期付款超过合同总金额30%或持续违约超过60日。</w:t>
      </w:r>
    </w:p>
    <w:p w14:paraId="1ED2DF8A" w14:textId="77777777" w:rsidR="00B139DF" w:rsidRDefault="00B139DF" w:rsidP="00B139DF">
      <w:pPr>
        <w:rPr>
          <w:rFonts w:hint="eastAsia"/>
        </w:rPr>
      </w:pPr>
    </w:p>
    <w:p w14:paraId="1AD68667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---</w:t>
      </w:r>
    </w:p>
    <w:p w14:paraId="32EEEC05" w14:textId="77777777" w:rsidR="00B139DF" w:rsidRDefault="00B139DF" w:rsidP="00B139DF">
      <w:pPr>
        <w:rPr>
          <w:rFonts w:hint="eastAsia"/>
        </w:rPr>
      </w:pPr>
    </w:p>
    <w:p w14:paraId="12E1440D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### 四、特殊条款缺陷</w:t>
      </w:r>
    </w:p>
    <w:p w14:paraId="66FC5E18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9. **保险条款矛盾**  </w:t>
      </w:r>
    </w:p>
    <w:p w14:paraId="7AB2A179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lastRenderedPageBreak/>
        <w:t xml:space="preserve">   - 第11.1条要求买方投保但第11.3条约定事故后卖方免责，可能因《保险法》第65条导致受益人索赔冲突。</w:t>
      </w:r>
    </w:p>
    <w:p w14:paraId="31E9883C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- **建议**：①明确保险理赔流程中买卖双方协作义务；②删除"卖方不承担任何责任"的绝对免责表述。</w:t>
      </w:r>
    </w:p>
    <w:p w14:paraId="671C2137" w14:textId="77777777" w:rsidR="00B139DF" w:rsidRDefault="00B139DF" w:rsidP="00B139DF">
      <w:pPr>
        <w:rPr>
          <w:rFonts w:hint="eastAsia"/>
        </w:rPr>
      </w:pPr>
    </w:p>
    <w:p w14:paraId="3D331665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10. **SYMT锁机条款合法性存疑**  </w:t>
      </w:r>
    </w:p>
    <w:p w14:paraId="6BEEEB3E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 - 第12.2条允许卖方远程锁机，可能构成《民法典》第1177条禁止的"自力救济"，引发侵权风险。</w:t>
      </w:r>
    </w:p>
    <w:p w14:paraId="47C39F76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 - **建议**：改为"卖方有权通过司法程序申请财产保全"，避免</w:t>
      </w:r>
      <w:proofErr w:type="gramStart"/>
      <w:r>
        <w:rPr>
          <w:rFonts w:hint="eastAsia"/>
        </w:rPr>
        <w:t>暴力拖机等</w:t>
      </w:r>
      <w:proofErr w:type="gramEnd"/>
      <w:r>
        <w:rPr>
          <w:rFonts w:hint="eastAsia"/>
        </w:rPr>
        <w:t>非法手段。</w:t>
      </w:r>
    </w:p>
    <w:p w14:paraId="36C9481C" w14:textId="77777777" w:rsidR="00B139DF" w:rsidRDefault="00B139DF" w:rsidP="00B139DF">
      <w:pPr>
        <w:rPr>
          <w:rFonts w:hint="eastAsia"/>
        </w:rPr>
      </w:pPr>
    </w:p>
    <w:p w14:paraId="62E036A2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---</w:t>
      </w:r>
    </w:p>
    <w:p w14:paraId="4E9CC43C" w14:textId="77777777" w:rsidR="00B139DF" w:rsidRDefault="00B139DF" w:rsidP="00B139DF">
      <w:pPr>
        <w:rPr>
          <w:rFonts w:hint="eastAsia"/>
        </w:rPr>
      </w:pPr>
    </w:p>
    <w:p w14:paraId="6F211466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### 五、程序性条款漏洞</w:t>
      </w:r>
    </w:p>
    <w:p w14:paraId="63188EC1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11. **争议解决条款冲突**  </w:t>
      </w:r>
    </w:p>
    <w:p w14:paraId="40296C23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 - 第17条同时约定"卖方所在地"和"合同签订地"法院管辖，根据《民事诉讼法》第35条可能被认定为无效。</w:t>
      </w:r>
    </w:p>
    <w:p w14:paraId="10265562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 - **建议**：选择单一管辖法院（优先约定卖方所在地）。</w:t>
      </w:r>
    </w:p>
    <w:p w14:paraId="29A63BD6" w14:textId="77777777" w:rsidR="00B139DF" w:rsidRDefault="00B139DF" w:rsidP="00B139DF">
      <w:pPr>
        <w:rPr>
          <w:rFonts w:hint="eastAsia"/>
        </w:rPr>
      </w:pPr>
    </w:p>
    <w:p w14:paraId="69525329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12. **送达条款不完善**  </w:t>
      </w:r>
    </w:p>
    <w:p w14:paraId="164D449B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 - 第19条未约定电子送达方式，且买方地址填写为"广东/广州市/.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"存在格式错误。</w:t>
      </w:r>
    </w:p>
    <w:p w14:paraId="2D4DB9B0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 xml:space="preserve">    - **建议**：①补充电子邮件、短信等电子送达方式；②规范地址填写格式（精确到门牌号）。</w:t>
      </w:r>
    </w:p>
    <w:p w14:paraId="19D96470" w14:textId="77777777" w:rsidR="00B139DF" w:rsidRDefault="00B139DF" w:rsidP="00B139DF">
      <w:pPr>
        <w:rPr>
          <w:rFonts w:hint="eastAsia"/>
        </w:rPr>
      </w:pPr>
    </w:p>
    <w:p w14:paraId="43EEEBD0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---</w:t>
      </w:r>
    </w:p>
    <w:p w14:paraId="3FD95D35" w14:textId="77777777" w:rsidR="00B139DF" w:rsidRDefault="00B139DF" w:rsidP="00B139DF">
      <w:pPr>
        <w:rPr>
          <w:rFonts w:hint="eastAsia"/>
        </w:rPr>
      </w:pPr>
    </w:p>
    <w:p w14:paraId="10D9A182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### 综合建议</w:t>
      </w:r>
    </w:p>
    <w:p w14:paraId="0815B73F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1. **增设卖方义务条款**：补充产品质量异议处理流程、售后服务响应时间等对等义</w:t>
      </w:r>
      <w:r>
        <w:rPr>
          <w:rFonts w:hint="eastAsia"/>
        </w:rPr>
        <w:lastRenderedPageBreak/>
        <w:t>务。</w:t>
      </w:r>
    </w:p>
    <w:p w14:paraId="44239625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2. **合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性审查**：需重点核查《特种设备安全法》对起重机买卖的资质要求（如买方是否具备特种设备使用许可）。</w:t>
      </w:r>
    </w:p>
    <w:p w14:paraId="2443F45E" w14:textId="77777777" w:rsidR="00B139DF" w:rsidRDefault="00B139DF" w:rsidP="00B139DF">
      <w:pPr>
        <w:rPr>
          <w:rFonts w:hint="eastAsia"/>
        </w:rPr>
      </w:pPr>
      <w:r>
        <w:rPr>
          <w:rFonts w:hint="eastAsia"/>
        </w:rPr>
        <w:t>3. **担保强化**：要求担保方提供不动产抵押或银行保函，避免连带责任担保执行困难。</w:t>
      </w:r>
    </w:p>
    <w:p w14:paraId="5E027557" w14:textId="77777777" w:rsidR="00B139DF" w:rsidRDefault="00B139DF" w:rsidP="00B139DF">
      <w:pPr>
        <w:rPr>
          <w:rFonts w:hint="eastAsia"/>
        </w:rPr>
      </w:pPr>
    </w:p>
    <w:p w14:paraId="2E9725D5" w14:textId="1F5C777B" w:rsidR="008531FD" w:rsidRPr="00E471F3" w:rsidRDefault="00B139DF" w:rsidP="00B139DF">
      <w:pPr>
        <w:rPr>
          <w:rFonts w:hint="eastAsia"/>
        </w:rPr>
      </w:pPr>
      <w:r>
        <w:rPr>
          <w:rFonts w:hint="eastAsia"/>
        </w:rPr>
        <w:t>（注：以上分析基于合同文本及现行法律，具体修改需结合交易背景补充尽职调查。）</w:t>
      </w:r>
    </w:p>
    <w:sectPr w:rsidR="008531FD" w:rsidRPr="00E471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AC7"/>
    <w:multiLevelType w:val="multilevel"/>
    <w:tmpl w:val="334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525"/>
    <w:multiLevelType w:val="multilevel"/>
    <w:tmpl w:val="DC9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00B7"/>
    <w:multiLevelType w:val="multilevel"/>
    <w:tmpl w:val="5856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64D63"/>
    <w:multiLevelType w:val="multilevel"/>
    <w:tmpl w:val="4B7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798A"/>
    <w:multiLevelType w:val="multilevel"/>
    <w:tmpl w:val="DEC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F0B22"/>
    <w:multiLevelType w:val="multilevel"/>
    <w:tmpl w:val="71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A25CC"/>
    <w:multiLevelType w:val="multilevel"/>
    <w:tmpl w:val="7ECC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73937"/>
    <w:multiLevelType w:val="multilevel"/>
    <w:tmpl w:val="42E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D38E0"/>
    <w:multiLevelType w:val="multilevel"/>
    <w:tmpl w:val="53D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1935D6"/>
    <w:multiLevelType w:val="multilevel"/>
    <w:tmpl w:val="293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57222"/>
    <w:multiLevelType w:val="multilevel"/>
    <w:tmpl w:val="92C2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B8296E"/>
    <w:multiLevelType w:val="multilevel"/>
    <w:tmpl w:val="203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42779"/>
    <w:multiLevelType w:val="multilevel"/>
    <w:tmpl w:val="037E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56531"/>
    <w:multiLevelType w:val="multilevel"/>
    <w:tmpl w:val="B1C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2549D"/>
    <w:multiLevelType w:val="multilevel"/>
    <w:tmpl w:val="C0B6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5649E"/>
    <w:multiLevelType w:val="multilevel"/>
    <w:tmpl w:val="8C1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57F41"/>
    <w:multiLevelType w:val="multilevel"/>
    <w:tmpl w:val="5F0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E6B93"/>
    <w:multiLevelType w:val="multilevel"/>
    <w:tmpl w:val="6574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B1484"/>
    <w:multiLevelType w:val="multilevel"/>
    <w:tmpl w:val="5FC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9485B"/>
    <w:multiLevelType w:val="multilevel"/>
    <w:tmpl w:val="34D6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3A134A"/>
    <w:multiLevelType w:val="multilevel"/>
    <w:tmpl w:val="564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C263C"/>
    <w:multiLevelType w:val="multilevel"/>
    <w:tmpl w:val="F1807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E4BCE"/>
    <w:multiLevelType w:val="multilevel"/>
    <w:tmpl w:val="A61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D1715"/>
    <w:multiLevelType w:val="multilevel"/>
    <w:tmpl w:val="4BC0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0366E7"/>
    <w:multiLevelType w:val="multilevel"/>
    <w:tmpl w:val="D32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566E8"/>
    <w:multiLevelType w:val="multilevel"/>
    <w:tmpl w:val="4B8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D2E83"/>
    <w:multiLevelType w:val="multilevel"/>
    <w:tmpl w:val="02B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24CB7"/>
    <w:multiLevelType w:val="multilevel"/>
    <w:tmpl w:val="A3CC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042F19"/>
    <w:multiLevelType w:val="multilevel"/>
    <w:tmpl w:val="1794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A00FA0"/>
    <w:multiLevelType w:val="multilevel"/>
    <w:tmpl w:val="640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E27EC"/>
    <w:multiLevelType w:val="multilevel"/>
    <w:tmpl w:val="A77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200C2"/>
    <w:multiLevelType w:val="multilevel"/>
    <w:tmpl w:val="616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E1642"/>
    <w:multiLevelType w:val="multilevel"/>
    <w:tmpl w:val="09EE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E23F44"/>
    <w:multiLevelType w:val="multilevel"/>
    <w:tmpl w:val="8F3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77512"/>
    <w:multiLevelType w:val="multilevel"/>
    <w:tmpl w:val="1F9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6039B"/>
    <w:multiLevelType w:val="multilevel"/>
    <w:tmpl w:val="F7DC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D15D30"/>
    <w:multiLevelType w:val="multilevel"/>
    <w:tmpl w:val="A1B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71BFB"/>
    <w:multiLevelType w:val="multilevel"/>
    <w:tmpl w:val="52A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382CE7"/>
    <w:multiLevelType w:val="multilevel"/>
    <w:tmpl w:val="9792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BF0EB0"/>
    <w:multiLevelType w:val="multilevel"/>
    <w:tmpl w:val="4A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A0014"/>
    <w:multiLevelType w:val="multilevel"/>
    <w:tmpl w:val="515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348A2"/>
    <w:multiLevelType w:val="multilevel"/>
    <w:tmpl w:val="58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76509">
    <w:abstractNumId w:val="18"/>
  </w:num>
  <w:num w:numId="2" w16cid:durableId="1132599389">
    <w:abstractNumId w:val="34"/>
  </w:num>
  <w:num w:numId="3" w16cid:durableId="14478828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2520257">
    <w:abstractNumId w:val="36"/>
  </w:num>
  <w:num w:numId="5" w16cid:durableId="446046135">
    <w:abstractNumId w:val="1"/>
  </w:num>
  <w:num w:numId="6" w16cid:durableId="256062796">
    <w:abstractNumId w:val="41"/>
  </w:num>
  <w:num w:numId="7" w16cid:durableId="4583812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8606370">
    <w:abstractNumId w:val="16"/>
  </w:num>
  <w:num w:numId="9" w16cid:durableId="1067802801">
    <w:abstractNumId w:val="26"/>
  </w:num>
  <w:num w:numId="10" w16cid:durableId="1278099173">
    <w:abstractNumId w:val="40"/>
  </w:num>
  <w:num w:numId="11" w16cid:durableId="1671372808">
    <w:abstractNumId w:val="7"/>
  </w:num>
  <w:num w:numId="12" w16cid:durableId="142252573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77867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033139">
    <w:abstractNumId w:val="3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7198142">
    <w:abstractNumId w:val="20"/>
  </w:num>
  <w:num w:numId="16" w16cid:durableId="1467162407">
    <w:abstractNumId w:val="22"/>
  </w:num>
  <w:num w:numId="17" w16cid:durableId="355471960">
    <w:abstractNumId w:val="11"/>
  </w:num>
  <w:num w:numId="18" w16cid:durableId="1394238425">
    <w:abstractNumId w:val="4"/>
  </w:num>
  <w:num w:numId="19" w16cid:durableId="1432243990">
    <w:abstractNumId w:val="33"/>
  </w:num>
  <w:num w:numId="20" w16cid:durableId="1564099201">
    <w:abstractNumId w:val="9"/>
  </w:num>
  <w:num w:numId="21" w16cid:durableId="893271150">
    <w:abstractNumId w:val="5"/>
  </w:num>
  <w:num w:numId="22" w16cid:durableId="888801311">
    <w:abstractNumId w:val="3"/>
  </w:num>
  <w:num w:numId="23" w16cid:durableId="634338805">
    <w:abstractNumId w:val="15"/>
  </w:num>
  <w:num w:numId="24" w16cid:durableId="776214345">
    <w:abstractNumId w:val="31"/>
  </w:num>
  <w:num w:numId="25" w16cid:durableId="432550387">
    <w:abstractNumId w:val="30"/>
  </w:num>
  <w:num w:numId="26" w16cid:durableId="1859271399">
    <w:abstractNumId w:val="25"/>
  </w:num>
  <w:num w:numId="27" w16cid:durableId="212666068">
    <w:abstractNumId w:val="0"/>
  </w:num>
  <w:num w:numId="28" w16cid:durableId="1041900903">
    <w:abstractNumId w:val="39"/>
  </w:num>
  <w:num w:numId="29" w16cid:durableId="821239610">
    <w:abstractNumId w:val="24"/>
  </w:num>
  <w:num w:numId="30" w16cid:durableId="378667307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31593951">
    <w:abstractNumId w:val="29"/>
  </w:num>
  <w:num w:numId="32" w16cid:durableId="179635588">
    <w:abstractNumId w:val="28"/>
  </w:num>
  <w:num w:numId="33" w16cid:durableId="534855411">
    <w:abstractNumId w:val="13"/>
  </w:num>
  <w:num w:numId="34" w16cid:durableId="801657440">
    <w:abstractNumId w:val="19"/>
  </w:num>
  <w:num w:numId="35" w16cid:durableId="1550339752">
    <w:abstractNumId w:val="8"/>
  </w:num>
  <w:num w:numId="36" w16cid:durableId="2034257476">
    <w:abstractNumId w:val="23"/>
  </w:num>
  <w:num w:numId="37" w16cid:durableId="1183203109">
    <w:abstractNumId w:val="6"/>
  </w:num>
  <w:num w:numId="38" w16cid:durableId="181019384">
    <w:abstractNumId w:val="27"/>
  </w:num>
  <w:num w:numId="39" w16cid:durableId="974139716">
    <w:abstractNumId w:val="21"/>
  </w:num>
  <w:num w:numId="40" w16cid:durableId="226579025">
    <w:abstractNumId w:val="14"/>
  </w:num>
  <w:num w:numId="41" w16cid:durableId="45297756">
    <w:abstractNumId w:val="38"/>
  </w:num>
  <w:num w:numId="42" w16cid:durableId="188313482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67"/>
    <w:rsid w:val="000A4A14"/>
    <w:rsid w:val="001E6FA1"/>
    <w:rsid w:val="002100B9"/>
    <w:rsid w:val="002530A1"/>
    <w:rsid w:val="0045507B"/>
    <w:rsid w:val="00484F4B"/>
    <w:rsid w:val="008531FD"/>
    <w:rsid w:val="009A7C26"/>
    <w:rsid w:val="009E2769"/>
    <w:rsid w:val="00B139DF"/>
    <w:rsid w:val="00BB4652"/>
    <w:rsid w:val="00BF0163"/>
    <w:rsid w:val="00BF0D30"/>
    <w:rsid w:val="00D73767"/>
    <w:rsid w:val="00E471F3"/>
    <w:rsid w:val="00EA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D660"/>
  <w15:chartTrackingRefBased/>
  <w15:docId w15:val="{76545063-B2C0-4148-A2EB-F348EB75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7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7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7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7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7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7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7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7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7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7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7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7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7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7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7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7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7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7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7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7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7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7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76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5507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6</cp:revision>
  <dcterms:created xsi:type="dcterms:W3CDTF">2025-03-12T05:28:00Z</dcterms:created>
  <dcterms:modified xsi:type="dcterms:W3CDTF">2025-03-12T11:01:00Z</dcterms:modified>
</cp:coreProperties>
</file>