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CFE1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根据甲方视角，以下为合同审查要点及高风险条款分析，并提出具体修改建议：</w:t>
      </w:r>
    </w:p>
    <w:p w14:paraId="1ACEB1B3" w14:textId="77777777" w:rsidR="007B6223" w:rsidRDefault="007B6223" w:rsidP="007B6223">
      <w:pPr>
        <w:rPr>
          <w:rFonts w:hint="eastAsia"/>
        </w:rPr>
      </w:pPr>
    </w:p>
    <w:p w14:paraId="0683D408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一、核心风险条款及修改建议</w:t>
      </w:r>
    </w:p>
    <w:p w14:paraId="0A69ECA2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（一）价款与支付条款</w:t>
      </w:r>
    </w:p>
    <w:p w14:paraId="1CA7BF65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1. **预付款计算错误**  </w:t>
      </w:r>
    </w:p>
    <w:p w14:paraId="6A665689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原条款：合同总金额123,445.32元，20%预付款为1,246.23元（实际应为24,689.06元）  </w:t>
      </w:r>
    </w:p>
    <w:p w14:paraId="7312C598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风险：金额错误导致后续付款争议，可能构成重大误解  </w:t>
      </w:r>
    </w:p>
    <w:p w14:paraId="323353C7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建议：修正预付款金额为「¥24,689.06元（大写：</w:t>
      </w:r>
      <w:proofErr w:type="gramStart"/>
      <w:r>
        <w:rPr>
          <w:rFonts w:hint="eastAsia"/>
        </w:rPr>
        <w:t>贰万肆仟陆佰捌拾玖</w:t>
      </w:r>
      <w:proofErr w:type="gramEnd"/>
      <w:r>
        <w:rPr>
          <w:rFonts w:hint="eastAsia"/>
        </w:rPr>
        <w:t>元</w:t>
      </w:r>
      <w:proofErr w:type="gramStart"/>
      <w:r>
        <w:rPr>
          <w:rFonts w:hint="eastAsia"/>
        </w:rPr>
        <w:t>零陆</w:t>
      </w:r>
      <w:proofErr w:type="gramEnd"/>
      <w:r>
        <w:rPr>
          <w:rFonts w:hint="eastAsia"/>
        </w:rPr>
        <w:t xml:space="preserve">分）」  </w:t>
      </w:r>
    </w:p>
    <w:p w14:paraId="7621C0FF" w14:textId="77777777" w:rsidR="007B6223" w:rsidRDefault="007B6223" w:rsidP="007B6223">
      <w:pPr>
        <w:rPr>
          <w:rFonts w:hint="eastAsia"/>
        </w:rPr>
      </w:pPr>
    </w:p>
    <w:p w14:paraId="07F5F053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2. **付款进度与验收挂钩不足**  </w:t>
      </w:r>
    </w:p>
    <w:p w14:paraId="01115308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原条款：仅约定「货到验收合格后支付80%」，未明确验收不合格的处理  </w:t>
      </w:r>
    </w:p>
    <w:p w14:paraId="10AB1A33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风险：若乙方拒绝整改，甲方可能陷入被动支付  </w:t>
      </w:r>
    </w:p>
    <w:p w14:paraId="0F18C42A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建议：增加「若验收不合格，甲方有权暂停支付尾款直至整改完成，逾期超过30日可单方解除合同」</w:t>
      </w:r>
    </w:p>
    <w:p w14:paraId="442A2FA0" w14:textId="77777777" w:rsidR="007B6223" w:rsidRDefault="007B6223" w:rsidP="007B6223">
      <w:pPr>
        <w:rPr>
          <w:rFonts w:hint="eastAsia"/>
        </w:rPr>
      </w:pPr>
    </w:p>
    <w:p w14:paraId="2171DD57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（二）质量与验收条款</w:t>
      </w:r>
    </w:p>
    <w:p w14:paraId="2845040F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3. **质量保证期缺位**  </w:t>
      </w:r>
    </w:p>
    <w:p w14:paraId="7AB988CA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原条款：仅约定「不少于合同规定或乙方承诺（以较长为准）」，但未明确基础期限  </w:t>
      </w:r>
    </w:p>
    <w:p w14:paraId="3AC1A951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风险：乙方可能主张极短质保期（如3个月），损害甲方权益  </w:t>
      </w:r>
    </w:p>
    <w:p w14:paraId="32894CB0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建议：明确「质量保证期不得少于【3年】，自验收合格之日起算」</w:t>
      </w:r>
    </w:p>
    <w:p w14:paraId="584FC19F" w14:textId="77777777" w:rsidR="007B6223" w:rsidRDefault="007B6223" w:rsidP="007B6223">
      <w:pPr>
        <w:rPr>
          <w:rFonts w:hint="eastAsia"/>
        </w:rPr>
      </w:pPr>
    </w:p>
    <w:p w14:paraId="06C3C7C2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4. **验收程序不完善**  </w:t>
      </w:r>
    </w:p>
    <w:p w14:paraId="1FD30C89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原条款：未规定验收标准、抽样比例及复检流程  </w:t>
      </w:r>
    </w:p>
    <w:p w14:paraId="7E9499F0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风险：争议时缺乏操作依据  </w:t>
      </w:r>
    </w:p>
    <w:p w14:paraId="25E298E8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建议：补充「验收依据GB/T 3324-2017《木家具通用技术条件》，随机抽检不低</w:t>
      </w:r>
      <w:r>
        <w:rPr>
          <w:rFonts w:hint="eastAsia"/>
        </w:rPr>
        <w:lastRenderedPageBreak/>
        <w:t>于20%样本，首次验收不合格可要求复检，复检费用由乙方承担」</w:t>
      </w:r>
    </w:p>
    <w:p w14:paraId="0110B48E" w14:textId="77777777" w:rsidR="007B6223" w:rsidRDefault="007B6223" w:rsidP="007B6223">
      <w:pPr>
        <w:rPr>
          <w:rFonts w:hint="eastAsia"/>
        </w:rPr>
      </w:pPr>
    </w:p>
    <w:p w14:paraId="78EB6EDE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（三）知识产权条款</w:t>
      </w:r>
    </w:p>
    <w:p w14:paraId="7B093F32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5. **侵权责任范围过窄**  </w:t>
      </w:r>
    </w:p>
    <w:p w14:paraId="2CCA52FB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原条款：仅覆盖「生产过程侵权」，未包括设计、销售环节  </w:t>
      </w:r>
    </w:p>
    <w:p w14:paraId="68DE3DB9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风险：第三方主张外观设计侵权时乙方可能免责  </w:t>
      </w:r>
    </w:p>
    <w:p w14:paraId="30F2DA8B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建议：修改为「乙方保证货物在设计、生产、销售全流程不侵犯第三方知识产权」</w:t>
      </w:r>
    </w:p>
    <w:p w14:paraId="6FB6D565" w14:textId="77777777" w:rsidR="007B6223" w:rsidRDefault="007B6223" w:rsidP="007B6223">
      <w:pPr>
        <w:rPr>
          <w:rFonts w:hint="eastAsia"/>
        </w:rPr>
      </w:pPr>
    </w:p>
    <w:p w14:paraId="542567CB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（四）违约责任条款</w:t>
      </w:r>
    </w:p>
    <w:p w14:paraId="3A0BCA5C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6. **误期赔偿上限不合理**  </w:t>
      </w:r>
    </w:p>
    <w:p w14:paraId="715F0FAC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原条款：迟延交货违约金上限为合同价10%（约1.2万元）  </w:t>
      </w:r>
    </w:p>
    <w:p w14:paraId="66E93B09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风险：若延迟导致甲方项目停滞，实际损失可能远超此限额  </w:t>
      </w:r>
    </w:p>
    <w:p w14:paraId="1C8AA45C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建议：调整为「累计违约金不超过合同总价30%，且甲方实际损失超过部分仍可追偿」</w:t>
      </w:r>
    </w:p>
    <w:p w14:paraId="0DD019F8" w14:textId="77777777" w:rsidR="007B6223" w:rsidRDefault="007B6223" w:rsidP="007B6223">
      <w:pPr>
        <w:rPr>
          <w:rFonts w:hint="eastAsia"/>
        </w:rPr>
      </w:pPr>
    </w:p>
    <w:p w14:paraId="0380E995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（五）争议解决条款</w:t>
      </w:r>
    </w:p>
    <w:p w14:paraId="038DAC3C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7. **管辖法院冲突**  </w:t>
      </w:r>
    </w:p>
    <w:p w14:paraId="6D1528A0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原条款：签订地为北京海淀区，争议解决约定朝阳区法院  </w:t>
      </w:r>
    </w:p>
    <w:p w14:paraId="5FC4701E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风险：可能因违反《民事诉讼法》导致管辖异议  </w:t>
      </w:r>
    </w:p>
    <w:p w14:paraId="0E0E219E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建议：统一为「向合同签订地（北京市海淀区）有管辖权的人民法院提起诉讼」</w:t>
      </w:r>
    </w:p>
    <w:p w14:paraId="4F2C6165" w14:textId="77777777" w:rsidR="007B6223" w:rsidRDefault="007B6223" w:rsidP="007B6223">
      <w:pPr>
        <w:rPr>
          <w:rFonts w:hint="eastAsia"/>
        </w:rPr>
      </w:pPr>
    </w:p>
    <w:p w14:paraId="74A145F7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二、其他需补充的关键条款</w:t>
      </w:r>
    </w:p>
    <w:p w14:paraId="6A06129C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1. **货物所有权保留**  </w:t>
      </w:r>
    </w:p>
    <w:p w14:paraId="0604CA82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增加「甲方付清全款前，货物所有权归属乙方，但风险自交付时转移」</w:t>
      </w:r>
    </w:p>
    <w:p w14:paraId="00D99CEB" w14:textId="77777777" w:rsidR="007B6223" w:rsidRDefault="007B6223" w:rsidP="007B6223">
      <w:pPr>
        <w:rPr>
          <w:rFonts w:hint="eastAsia"/>
        </w:rPr>
      </w:pPr>
    </w:p>
    <w:p w14:paraId="3765A5FC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2. **环保责任延伸**  </w:t>
      </w:r>
    </w:p>
    <w:p w14:paraId="519D7A61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lastRenderedPageBreak/>
        <w:t xml:space="preserve">   - 补充「若货物甲醛释放量超过GB 18580-2017标准，乙方需承担检测费及甲方人员健康损害赔偿责任」</w:t>
      </w:r>
    </w:p>
    <w:p w14:paraId="216CCBA2" w14:textId="77777777" w:rsidR="007B6223" w:rsidRDefault="007B6223" w:rsidP="007B6223">
      <w:pPr>
        <w:rPr>
          <w:rFonts w:hint="eastAsia"/>
        </w:rPr>
      </w:pPr>
    </w:p>
    <w:p w14:paraId="65CCCB02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3. **数据安全条款**  </w:t>
      </w:r>
    </w:p>
    <w:p w14:paraId="7C94FEAA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增加「乙方安装过程中接触的甲方数据需签订保密协议，违规泄露需按每例5万元承担违约金」</w:t>
      </w:r>
    </w:p>
    <w:p w14:paraId="7AFAB205" w14:textId="77777777" w:rsidR="007B6223" w:rsidRDefault="007B6223" w:rsidP="007B6223">
      <w:pPr>
        <w:rPr>
          <w:rFonts w:hint="eastAsia"/>
        </w:rPr>
      </w:pPr>
    </w:p>
    <w:p w14:paraId="7E8C6A2A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三、格式与表述问题修正</w:t>
      </w:r>
    </w:p>
    <w:p w14:paraId="6BD1D34D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1. **条款编号错误**  </w:t>
      </w:r>
    </w:p>
    <w:p w14:paraId="6BA42F86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原合同第14.2.1条引用「第13.2.1条」应为「第14.2.1条」</w:t>
      </w:r>
    </w:p>
    <w:p w14:paraId="14C01FF1" w14:textId="77777777" w:rsidR="007B6223" w:rsidRDefault="007B6223" w:rsidP="007B6223">
      <w:pPr>
        <w:rPr>
          <w:rFonts w:hint="eastAsia"/>
        </w:rPr>
      </w:pPr>
    </w:p>
    <w:p w14:paraId="2996288F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2. **包装标记冗余**  </w:t>
      </w:r>
    </w:p>
    <w:p w14:paraId="009EBEC9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   - 原6.3条(a)(c)项重复「收货人」信息，建议合并为「收货方名称及地址」</w:t>
      </w:r>
    </w:p>
    <w:p w14:paraId="6509C769" w14:textId="77777777" w:rsidR="007B6223" w:rsidRDefault="007B6223" w:rsidP="007B6223">
      <w:pPr>
        <w:rPr>
          <w:rFonts w:hint="eastAsia"/>
        </w:rPr>
      </w:pPr>
    </w:p>
    <w:p w14:paraId="4333EF4C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四、执行建议</w:t>
      </w:r>
    </w:p>
    <w:p w14:paraId="3A7007FB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1. 要求乙方提供家具环保检测报告及产品责任险保单副本  </w:t>
      </w:r>
    </w:p>
    <w:p w14:paraId="76EF0C0F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 xml:space="preserve">2. 建议增加履约保证金条款（合同金额5%-10%）  </w:t>
      </w:r>
    </w:p>
    <w:p w14:paraId="4BAEA085" w14:textId="77777777" w:rsidR="007B6223" w:rsidRDefault="007B6223" w:rsidP="007B6223">
      <w:pPr>
        <w:rPr>
          <w:rFonts w:hint="eastAsia"/>
        </w:rPr>
      </w:pPr>
      <w:r>
        <w:rPr>
          <w:rFonts w:hint="eastAsia"/>
        </w:rPr>
        <w:t>3. 重要条款（如违约金计算）建议以加粗或下划线标注</w:t>
      </w:r>
    </w:p>
    <w:p w14:paraId="0550FEF0" w14:textId="77777777" w:rsidR="007B6223" w:rsidRDefault="007B6223" w:rsidP="007B6223">
      <w:pPr>
        <w:rPr>
          <w:rFonts w:hint="eastAsia"/>
        </w:rPr>
      </w:pPr>
    </w:p>
    <w:p w14:paraId="2E9725D5" w14:textId="0F50F0E4" w:rsidR="008531FD" w:rsidRPr="00E471F3" w:rsidRDefault="007B6223" w:rsidP="007B6223">
      <w:pPr>
        <w:rPr>
          <w:rFonts w:hint="eastAsia"/>
        </w:rPr>
      </w:pPr>
      <w:r>
        <w:rPr>
          <w:rFonts w:hint="eastAsia"/>
        </w:rPr>
        <w:t>（注：以上审查基于合同文本的静态分析，实际风险需结合交易背景、行业惯例等综合判断。建议法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部门与业务部门联合开展合同谈判。）</w:t>
      </w:r>
    </w:p>
    <w:sectPr w:rsidR="008531FD" w:rsidRPr="00E47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A25CC"/>
    <w:multiLevelType w:val="multilevel"/>
    <w:tmpl w:val="7EC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38E0"/>
    <w:multiLevelType w:val="multilevel"/>
    <w:tmpl w:val="53D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56531"/>
    <w:multiLevelType w:val="multilevel"/>
    <w:tmpl w:val="B1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2549D"/>
    <w:multiLevelType w:val="multilevel"/>
    <w:tmpl w:val="C0B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9485B"/>
    <w:multiLevelType w:val="multilevel"/>
    <w:tmpl w:val="34D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C263C"/>
    <w:multiLevelType w:val="multilevel"/>
    <w:tmpl w:val="F180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D1715"/>
    <w:multiLevelType w:val="multilevel"/>
    <w:tmpl w:val="4BC0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24CB7"/>
    <w:multiLevelType w:val="multilevel"/>
    <w:tmpl w:val="A3CC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42F19"/>
    <w:multiLevelType w:val="multilevel"/>
    <w:tmpl w:val="1794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E1642"/>
    <w:multiLevelType w:val="multilevel"/>
    <w:tmpl w:val="09EE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82CE7"/>
    <w:multiLevelType w:val="multilevel"/>
    <w:tmpl w:val="9792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76509">
    <w:abstractNumId w:val="18"/>
  </w:num>
  <w:num w:numId="2" w16cid:durableId="1132599389">
    <w:abstractNumId w:val="34"/>
  </w:num>
  <w:num w:numId="3" w16cid:durableId="14478828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2520257">
    <w:abstractNumId w:val="36"/>
  </w:num>
  <w:num w:numId="5" w16cid:durableId="446046135">
    <w:abstractNumId w:val="1"/>
  </w:num>
  <w:num w:numId="6" w16cid:durableId="256062796">
    <w:abstractNumId w:val="41"/>
  </w:num>
  <w:num w:numId="7" w16cid:durableId="4583812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8606370">
    <w:abstractNumId w:val="16"/>
  </w:num>
  <w:num w:numId="9" w16cid:durableId="1067802801">
    <w:abstractNumId w:val="26"/>
  </w:num>
  <w:num w:numId="10" w16cid:durableId="1278099173">
    <w:abstractNumId w:val="40"/>
  </w:num>
  <w:num w:numId="11" w16cid:durableId="1671372808">
    <w:abstractNumId w:val="7"/>
  </w:num>
  <w:num w:numId="12" w16cid:durableId="14225257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7867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33139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198142">
    <w:abstractNumId w:val="20"/>
  </w:num>
  <w:num w:numId="16" w16cid:durableId="1467162407">
    <w:abstractNumId w:val="22"/>
  </w:num>
  <w:num w:numId="17" w16cid:durableId="355471960">
    <w:abstractNumId w:val="11"/>
  </w:num>
  <w:num w:numId="18" w16cid:durableId="1394238425">
    <w:abstractNumId w:val="4"/>
  </w:num>
  <w:num w:numId="19" w16cid:durableId="1432243990">
    <w:abstractNumId w:val="33"/>
  </w:num>
  <w:num w:numId="20" w16cid:durableId="1564099201">
    <w:abstractNumId w:val="9"/>
  </w:num>
  <w:num w:numId="21" w16cid:durableId="893271150">
    <w:abstractNumId w:val="5"/>
  </w:num>
  <w:num w:numId="22" w16cid:durableId="888801311">
    <w:abstractNumId w:val="3"/>
  </w:num>
  <w:num w:numId="23" w16cid:durableId="634338805">
    <w:abstractNumId w:val="15"/>
  </w:num>
  <w:num w:numId="24" w16cid:durableId="776214345">
    <w:abstractNumId w:val="31"/>
  </w:num>
  <w:num w:numId="25" w16cid:durableId="432550387">
    <w:abstractNumId w:val="30"/>
  </w:num>
  <w:num w:numId="26" w16cid:durableId="1859271399">
    <w:abstractNumId w:val="25"/>
  </w:num>
  <w:num w:numId="27" w16cid:durableId="212666068">
    <w:abstractNumId w:val="0"/>
  </w:num>
  <w:num w:numId="28" w16cid:durableId="1041900903">
    <w:abstractNumId w:val="39"/>
  </w:num>
  <w:num w:numId="29" w16cid:durableId="821239610">
    <w:abstractNumId w:val="24"/>
  </w:num>
  <w:num w:numId="30" w16cid:durableId="37866730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1593951">
    <w:abstractNumId w:val="29"/>
  </w:num>
  <w:num w:numId="32" w16cid:durableId="179635588">
    <w:abstractNumId w:val="28"/>
  </w:num>
  <w:num w:numId="33" w16cid:durableId="534855411">
    <w:abstractNumId w:val="13"/>
  </w:num>
  <w:num w:numId="34" w16cid:durableId="801657440">
    <w:abstractNumId w:val="19"/>
  </w:num>
  <w:num w:numId="35" w16cid:durableId="1550339752">
    <w:abstractNumId w:val="8"/>
  </w:num>
  <w:num w:numId="36" w16cid:durableId="2034257476">
    <w:abstractNumId w:val="23"/>
  </w:num>
  <w:num w:numId="37" w16cid:durableId="1183203109">
    <w:abstractNumId w:val="6"/>
  </w:num>
  <w:num w:numId="38" w16cid:durableId="181019384">
    <w:abstractNumId w:val="27"/>
  </w:num>
  <w:num w:numId="39" w16cid:durableId="974139716">
    <w:abstractNumId w:val="21"/>
  </w:num>
  <w:num w:numId="40" w16cid:durableId="226579025">
    <w:abstractNumId w:val="14"/>
  </w:num>
  <w:num w:numId="41" w16cid:durableId="45297756">
    <w:abstractNumId w:val="38"/>
  </w:num>
  <w:num w:numId="42" w16cid:durableId="188313482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67"/>
    <w:rsid w:val="000A4A14"/>
    <w:rsid w:val="001E6FA1"/>
    <w:rsid w:val="002100B9"/>
    <w:rsid w:val="002530A1"/>
    <w:rsid w:val="0045507B"/>
    <w:rsid w:val="00484F4B"/>
    <w:rsid w:val="007B6223"/>
    <w:rsid w:val="008531FD"/>
    <w:rsid w:val="009A7C26"/>
    <w:rsid w:val="009E2769"/>
    <w:rsid w:val="00B139DF"/>
    <w:rsid w:val="00BB4652"/>
    <w:rsid w:val="00BB591A"/>
    <w:rsid w:val="00BF0163"/>
    <w:rsid w:val="00BF0D30"/>
    <w:rsid w:val="00D73767"/>
    <w:rsid w:val="00E471F3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60"/>
  <w15:chartTrackingRefBased/>
  <w15:docId w15:val="{76545063-B2C0-4148-A2EB-F348EB75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7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7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7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7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07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7</cp:revision>
  <dcterms:created xsi:type="dcterms:W3CDTF">2025-03-12T05:28:00Z</dcterms:created>
  <dcterms:modified xsi:type="dcterms:W3CDTF">2025-03-12T11:48:00Z</dcterms:modified>
</cp:coreProperties>
</file>