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9CAB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重庆建峰化工股份有限公司富磷肥买卖合同</w:t>
      </w:r>
    </w:p>
    <w:p w14:paraId="55081C3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198323F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商密AA▲1年</w:t>
      </w:r>
    </w:p>
    <w:p w14:paraId="68254D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化 肥 销 售 合 同 </w:t>
      </w:r>
    </w:p>
    <w:p w14:paraId="3F24FCA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（预付）</w:t>
      </w:r>
    </w:p>
    <w:p w14:paraId="508520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供方：重庆建峰化工股份有限公司           合同编号：20160525-NSYB-166</w:t>
      </w:r>
    </w:p>
    <w:p w14:paraId="5BE9D9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　　　　                                 签 订 地：重庆·涪陵·白涛</w:t>
      </w:r>
    </w:p>
    <w:p w14:paraId="55E533C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需方：南宁邦力达农资有限责任公司         签订时间：2016年5月25日  </w:t>
      </w:r>
    </w:p>
    <w:p w14:paraId="15D3EEC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一、产品名称、等级、数量、单价、金额</w:t>
      </w:r>
    </w:p>
    <w:p w14:paraId="767131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二、质量要求：符合GB2440--2001农用尿素标准。</w:t>
      </w:r>
    </w:p>
    <w:p w14:paraId="159054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三、交货时间、地点及方式：“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供方在收到需方全部预付款后180个工作日内完成发货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，南宁南火车站火车车板交货。</w:t>
      </w:r>
    </w:p>
    <w:p w14:paraId="3F59B2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四、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供方负责将货物运送至南宁南火车站并装上火车车板，此过程产生的包装费、出厂装卸费、短途运输费由供方承担；铁路运输费、保险费、到站卸货费及其他到达交货地点后产生的费用由需方承。</w:t>
      </w:r>
    </w:p>
    <w:p w14:paraId="5657374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五、包装:内塑外编，规格50千克/袋，误差±0.5千克/袋。</w:t>
      </w:r>
    </w:p>
    <w:p w14:paraId="5CE59E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六、</w:t>
      </w: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需方收货后按本合同第二条标准进行验收。验收分为外观及数量验收（于交货当时完成）和质量验收（于收货后5日内完成）。若货物质量不符合合同约定，需方有权拒收或在验收期内提出书面异议。供方应在收到需方书面异议之日起5日内予以书面答复。供方认可异议成立的，应负责免费退换货，并承担由此产生的全部运输、装卸、仓储等费用。供方应在收到验收不合格书面意见后7日内对货物进行修改、更换或采取其他补救措施，并重新申请验收。若第二次验收仍未通过，需方有权解除合同，供方应退还已收货款，并按合同总金额的___%向需方支付违约金。”</w:t>
      </w:r>
    </w:p>
    <w:p w14:paraId="30A5FAB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七、铁路市场结算数量以实际发货数量为准；并在运输交接单上签字盖章。</w:t>
      </w:r>
    </w:p>
    <w:p w14:paraId="1A0CB41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八、结算方式：预收货款，发货或货到后结算，需方于本合同生效三个工作日内向供方支付全部货款，同时向供方报送货物流向；货物从供方发出后，由供需双方商议结算价格、数量，并以补充协议形式确认。对于未能实现销售结算的发出货物，由供方参照市场行情不定期提供货物结算价格，需方以此为基础进行货物的销售，并于每日下午5:30前向供方书面报送销售数量（如需方当日未报则视为销售为零），经供方确认后按当期价格进行结算。若到交货地后的货物需方在一个月内仍未销售完毕，则由供需双方按随行就市原则一次性商议结算，并以补充协议形式确认。    九、违约责任：按《合同法》执行。</w:t>
      </w:r>
    </w:p>
    <w:p w14:paraId="342B54D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十、解决合同纠纷的方式：协商解决。协商不成，由合同签订地法院按诉讼程序解决。</w:t>
      </w:r>
    </w:p>
    <w:p w14:paraId="654A0A8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十一、对不可抗力所造成的延期到货，免除违约责任，但供方应及时告知需方。</w:t>
      </w:r>
    </w:p>
    <w:p w14:paraId="05D94D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十二、合同生效条件：本合同双方签字盖章后生效，在合同履行中双方往来的信件、电函是合同的有效组成部分，具备同等法律效力。</w:t>
      </w:r>
    </w:p>
    <w:p w14:paraId="04DEFE6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十三、其他事项：1、本合同属传真件，双方签字盖章后生效。2、该批尿素严禁用于食品、饲料添加，如销往食品、饲料行业，造成的不良后果将由需方承担全责。</w:t>
      </w:r>
    </w:p>
    <w:p w14:paraId="5DB3196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color w:val="FF0000"/>
          <w:lang w:val="en-US"/>
        </w:rPr>
      </w:pPr>
      <w:r>
        <w:rPr>
          <w:rFonts w:hint="eastAsia" w:ascii="等线" w:hAnsi="等线" w:eastAsia="等线" w:cs="Times New Roman"/>
          <w:color w:val="FF0000"/>
          <w:kern w:val="2"/>
          <w:sz w:val="21"/>
          <w:szCs w:val="22"/>
          <w:lang w:val="en-US" w:eastAsia="zh-CN" w:bidi="ar"/>
        </w:rPr>
        <w:t>十四、保密条款：双方确认，在本合同磋商、签署及履行过程中所获知的对方及其关联企业的技术、财务、商业、运营及其他非公开信息（包括但不限于本合同内容、价格、数量、结算方式、客户信息等），均构成保密信息。双方及其董事、监事、高级管理人员、雇员、代理人、顾问等均负有保密义务，未经对方事先书面同意，不得向任何第三方披露。保密义务持续至合同终止后【3】年。如因一方违反本保密义务给对方造成损失的，应承担全部赔偿责任。本条款不因本合同的无效、解除或终止而失效。</w:t>
      </w:r>
    </w:p>
    <w:p w14:paraId="6939F3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6AFBA58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产   品</w:t>
      </w:r>
    </w:p>
    <w:p w14:paraId="5BE72B5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名   称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等  级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数   量</w:t>
      </w:r>
    </w:p>
    <w:p w14:paraId="6216FBA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（吨）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单   价</w:t>
      </w:r>
    </w:p>
    <w:p w14:paraId="08B1072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（元/吨）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金   额</w:t>
      </w:r>
    </w:p>
    <w:p w14:paraId="6CAF7D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（元）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备   注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</w:p>
    <w:p w14:paraId="003E7D8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“建峰”小颗粒</w:t>
      </w:r>
    </w:p>
    <w:p w14:paraId="20CBB24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尿素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合格品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3000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 xml:space="preserve"> 1420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4260000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单价为暂定价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</w:p>
    <w:p w14:paraId="435570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“建峰”小颗粒</w:t>
      </w:r>
    </w:p>
    <w:p w14:paraId="5478F74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尿素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合  计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3000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4260000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/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</w:p>
    <w:p w14:paraId="566AC24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合计人民币金额（大写）：肆佰贰拾陆万元整.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</w:p>
    <w:p w14:paraId="747611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5B01AC2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供     方</w:t>
      </w:r>
    </w:p>
    <w:p w14:paraId="5EAA8C0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单位名称(章)：重庆建峰化工股份有限公司</w:t>
      </w:r>
    </w:p>
    <w:p w14:paraId="402D2DC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地        址：重庆·涪陵·白涛</w:t>
      </w:r>
    </w:p>
    <w:p w14:paraId="38A46A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代        表：</w:t>
      </w:r>
    </w:p>
    <w:p w14:paraId="671297B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电        话：</w:t>
      </w:r>
    </w:p>
    <w:p w14:paraId="776A738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开  户 银 行： </w:t>
      </w:r>
    </w:p>
    <w:p w14:paraId="4BB09B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帐        号：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  <w:t>需      方</w:t>
      </w:r>
    </w:p>
    <w:p w14:paraId="5BA397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单位名称(章): 南宁邦力达农资有限责任公司</w:t>
      </w:r>
    </w:p>
    <w:p w14:paraId="5F0776C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地        址:</w:t>
      </w:r>
    </w:p>
    <w:p w14:paraId="11A466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代        表:</w:t>
      </w:r>
    </w:p>
    <w:p w14:paraId="04A36B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电        话：</w:t>
      </w:r>
    </w:p>
    <w:p w14:paraId="399AC29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开 户 银  行:</w:t>
      </w:r>
    </w:p>
    <w:p w14:paraId="41DEF6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>帐        号: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ab/>
      </w:r>
    </w:p>
    <w:p w14:paraId="375F2A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lang w:val="en-US"/>
        </w:rPr>
      </w:pPr>
    </w:p>
    <w:p w14:paraId="23963CA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D67808"/>
    <w:rsid w:val="45D67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2025-11-11T16:20:00Z</dcterms:created>
  <dc:creator>叮叮叮</dc:creator>
  <cp:lastModifiedBy>叮叮叮</cp:lastModifiedBy>
  <dcterms:modified xsi:type="dcterms:W3CDTF">2025-11-11T16:21:57Z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833B4845FCD345A7B64A6A35AF97B4D2_11</vt:lpwstr>
  </property>
  <property fmtid="{D5CDD505-2E9C-101B-9397-08002B2CF9AE}" pid="4" name="KSOTemplateDocerSaveRecord">
    <vt:lpwstr>eyJoZGlkIjoiYTQ3YmJiOTU4YjhhOTRmM2QzY2Q3NmZmZjkyMzFlYmMiLCJ1c2VySWQiOiI3MDk3MTUyMDYifQ==</vt:lpwstr>
  </property>
</Properties>
</file>