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B0D7C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电脑买卖合同</w:t>
      </w:r>
    </w:p>
    <w:p w14:paraId="0F24DCD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甲方（采购方）：北京科技发展有限公司</w:t>
      </w:r>
    </w:p>
    <w:p w14:paraId="4161A03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统一社会信用代码：91110108XXXXXXXXXX</w:t>
      </w:r>
    </w:p>
    <w:p w14:paraId="42F035B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地址：北京市海淀区XX路XX号</w:t>
      </w:r>
    </w:p>
    <w:p w14:paraId="55B2DB7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联系人：张三 联系电话：010-XXXXXXXX</w:t>
      </w:r>
    </w:p>
    <w:p w14:paraId="543F391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乙方（销售方）：联想（北京）有限公司</w:t>
      </w:r>
    </w:p>
    <w:p w14:paraId="0996EDA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统一社会信用代码：91110105XXXXXXXXXX</w:t>
      </w:r>
    </w:p>
    <w:p w14:paraId="007B9E4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地址：北京市朝阳区XX大街XX号</w:t>
      </w:r>
    </w:p>
    <w:p w14:paraId="6710160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联系人：李四 联系电话：010-YYYYYYYY</w:t>
      </w:r>
    </w:p>
    <w:p w14:paraId="37FEE91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甲乙双方本着平等互利、诚实信用的原则，根据《中华人民共和国民法典》及相关法律法规，就甲方向乙方采购电脑事宜达成如下协议，以兹共同遵守。</w:t>
      </w:r>
    </w:p>
    <w:p w14:paraId="70E77CA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w:t>
      </w:r>
      <w:r>
        <w:rPr>
          <w:rFonts w:hint="eastAsia" w:ascii="等线" w:hAnsi="等线" w:eastAsia="等线" w:cs="Times New Roman"/>
          <w:kern w:val="2"/>
          <w:sz w:val="21"/>
          <w:szCs w:val="22"/>
          <w:lang w:val="en-US" w:eastAsia="zh-CN" w:bidi="ar"/>
        </w:rPr>
        <w:tab/>
        <w:t>合同标的</w:t>
      </w:r>
    </w:p>
    <w:p w14:paraId="16CF8DE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乙方为甲方提供联想ThinkPad X1 Carbon Gen 10笔记本电脑100台，具体配置如下：</w:t>
      </w:r>
    </w:p>
    <w:p w14:paraId="6E22ECF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o</w:t>
      </w:r>
      <w:r>
        <w:rPr>
          <w:rFonts w:hint="eastAsia" w:ascii="等线" w:hAnsi="等线" w:eastAsia="等线" w:cs="Times New Roman"/>
          <w:kern w:val="2"/>
          <w:sz w:val="21"/>
          <w:szCs w:val="22"/>
          <w:lang w:val="en-US" w:eastAsia="zh-CN" w:bidi="ar"/>
        </w:rPr>
        <w:tab/>
        <w:t>处理器：Intel Core i7-1260P（12核16线程）</w:t>
      </w:r>
    </w:p>
    <w:p w14:paraId="5F3FDE8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o</w:t>
      </w:r>
      <w:r>
        <w:rPr>
          <w:rFonts w:hint="eastAsia" w:ascii="等线" w:hAnsi="等线" w:eastAsia="等线" w:cs="Times New Roman"/>
          <w:kern w:val="2"/>
          <w:sz w:val="21"/>
          <w:szCs w:val="22"/>
          <w:lang w:val="en-US" w:eastAsia="zh-CN" w:bidi="ar"/>
        </w:rPr>
        <w:tab/>
        <w:t>内存：16GB LPDDR5-5200</w:t>
      </w:r>
    </w:p>
    <w:p w14:paraId="33E5918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o</w:t>
      </w:r>
      <w:r>
        <w:rPr>
          <w:rFonts w:hint="eastAsia" w:ascii="等线" w:hAnsi="等线" w:eastAsia="等线" w:cs="Times New Roman"/>
          <w:kern w:val="2"/>
          <w:sz w:val="21"/>
          <w:szCs w:val="22"/>
          <w:lang w:val="en-US" w:eastAsia="zh-CN" w:bidi="ar"/>
        </w:rPr>
        <w:tab/>
        <w:t>硬盘：1TB PCIe 4.0 NVMe SSD</w:t>
      </w:r>
    </w:p>
    <w:p w14:paraId="58B70E8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o</w:t>
      </w:r>
      <w:r>
        <w:rPr>
          <w:rFonts w:hint="eastAsia" w:ascii="等线" w:hAnsi="等线" w:eastAsia="等线" w:cs="Times New Roman"/>
          <w:kern w:val="2"/>
          <w:sz w:val="21"/>
          <w:szCs w:val="22"/>
          <w:lang w:val="en-US" w:eastAsia="zh-CN" w:bidi="ar"/>
        </w:rPr>
        <w:tab/>
        <w:t>显示屏：14英寸WQXGA（2560×1600）IPS，500nit，100% sRGB</w:t>
      </w:r>
    </w:p>
    <w:p w14:paraId="3962CF6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o</w:t>
      </w:r>
      <w:r>
        <w:rPr>
          <w:rFonts w:hint="eastAsia" w:ascii="等线" w:hAnsi="等线" w:eastAsia="等线" w:cs="Times New Roman"/>
          <w:kern w:val="2"/>
          <w:sz w:val="21"/>
          <w:szCs w:val="22"/>
          <w:lang w:val="en-US" w:eastAsia="zh-CN" w:bidi="ar"/>
        </w:rPr>
        <w:tab/>
        <w:t>操作系统：Windows 11 专业版</w:t>
      </w:r>
    </w:p>
    <w:p w14:paraId="75FCEC7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o</w:t>
      </w:r>
      <w:r>
        <w:rPr>
          <w:rFonts w:hint="eastAsia" w:ascii="等线" w:hAnsi="等线" w:eastAsia="等线" w:cs="Times New Roman"/>
          <w:kern w:val="2"/>
          <w:sz w:val="21"/>
          <w:szCs w:val="22"/>
          <w:lang w:val="en-US" w:eastAsia="zh-CN" w:bidi="ar"/>
        </w:rPr>
        <w:tab/>
        <w:t>服务：3年上门保修+意外保护服务</w:t>
      </w:r>
    </w:p>
    <w:p w14:paraId="2E33AFD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w:t>
      </w:r>
      <w:r>
        <w:rPr>
          <w:rFonts w:hint="eastAsia" w:ascii="等线" w:hAnsi="等线" w:eastAsia="等线" w:cs="Times New Roman"/>
          <w:kern w:val="2"/>
          <w:sz w:val="21"/>
          <w:szCs w:val="22"/>
          <w:lang w:val="en-US" w:eastAsia="zh-CN" w:bidi="ar"/>
        </w:rPr>
        <w:tab/>
        <w:t>数量与价格</w:t>
      </w:r>
    </w:p>
    <w:p w14:paraId="0E7DFE60">
      <w:pPr>
        <w:keepNext w:val="0"/>
        <w:keepLines w:val="0"/>
        <w:widowControl w:val="0"/>
        <w:suppressLineNumbers w:val="0"/>
        <w:spacing w:before="0" w:beforeAutospacing="0" w:after="0" w:afterAutospacing="0"/>
        <w:ind w:left="0" w:right="0"/>
        <w:jc w:val="both"/>
        <w:rPr>
          <w:color w:val="FF0000"/>
          <w:lang w:val="en-US"/>
        </w:rPr>
      </w:pPr>
      <w:r>
        <w:rPr>
          <w:rFonts w:hint="eastAsia"/>
          <w:color w:val="FF0000"/>
          <w:lang w:val="en-US"/>
        </w:rPr>
        <w:t>合同总数量：100台，单价：12,999元/台，总金额：1,299,900元（大写：人民币壹佰贰拾玖万玖仟玖佰元整）。上述价格已包含增值税专用发票（适用税率为13%）、运费及安装调试费用。</w:t>
      </w:r>
    </w:p>
    <w:p w14:paraId="2C5831E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w:t>
      </w:r>
      <w:r>
        <w:rPr>
          <w:rFonts w:hint="eastAsia" w:ascii="等线" w:hAnsi="等线" w:eastAsia="等线" w:cs="Times New Roman"/>
          <w:kern w:val="2"/>
          <w:sz w:val="21"/>
          <w:szCs w:val="22"/>
          <w:lang w:val="en-US" w:eastAsia="zh-CN" w:bidi="ar"/>
        </w:rPr>
        <w:tab/>
        <w:t>质量标准</w:t>
      </w:r>
    </w:p>
    <w:p w14:paraId="075FE69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货物须符合国家质量标准（GB/T 9813.2-2016）及制造商出厂标准，提供原厂合格证、保修卡等资料。</w:t>
      </w:r>
    </w:p>
    <w:p w14:paraId="4E8F247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4.</w:t>
      </w:r>
      <w:r>
        <w:rPr>
          <w:rFonts w:hint="eastAsia" w:ascii="等线" w:hAnsi="等线" w:eastAsia="等线" w:cs="Times New Roman"/>
          <w:kern w:val="2"/>
          <w:sz w:val="21"/>
          <w:szCs w:val="22"/>
          <w:lang w:val="en-US" w:eastAsia="zh-CN" w:bidi="ar"/>
        </w:rPr>
        <w:tab/>
        <w:t>交付时间与地点</w:t>
      </w:r>
    </w:p>
    <w:p w14:paraId="1C08FBA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乙方应于2025年12月15日前将全部货物运至甲方指定地点：北京市海淀区XX路XX号科技大厦5层。</w:t>
      </w:r>
    </w:p>
    <w:p w14:paraId="4CC4B0A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5.</w:t>
      </w:r>
      <w:r>
        <w:rPr>
          <w:rFonts w:hint="eastAsia" w:ascii="等线" w:hAnsi="等线" w:eastAsia="等线" w:cs="Times New Roman"/>
          <w:kern w:val="2"/>
          <w:sz w:val="21"/>
          <w:szCs w:val="22"/>
          <w:lang w:val="en-US" w:eastAsia="zh-CN" w:bidi="ar"/>
        </w:rPr>
        <w:tab/>
        <w:t>运输方式与费用</w:t>
      </w:r>
    </w:p>
    <w:p w14:paraId="3C6B8CE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乙方负责通过顺丰物流（保价运输）配送，运输费用由乙方承担。货物毁损、灭失风险在甲方签收前由乙方承担。</w:t>
      </w:r>
    </w:p>
    <w:p w14:paraId="376851A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6.</w:t>
      </w:r>
      <w:r>
        <w:rPr>
          <w:rFonts w:hint="eastAsia" w:ascii="等线" w:hAnsi="等线" w:eastAsia="等线" w:cs="Times New Roman"/>
          <w:kern w:val="2"/>
          <w:sz w:val="21"/>
          <w:szCs w:val="22"/>
          <w:lang w:val="en-US" w:eastAsia="zh-CN" w:bidi="ar"/>
        </w:rPr>
        <w:tab/>
        <w:t>包装要求</w:t>
      </w:r>
    </w:p>
    <w:p w14:paraId="196B042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采用原厂包装，内附防震泡沫及防静电袋，外包装标注"小心轻放""向上"等标识。每台电脑单独包装，10台为一组打托盘。</w:t>
      </w:r>
    </w:p>
    <w:p w14:paraId="6FEE1D1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7.</w:t>
      </w:r>
      <w:r>
        <w:rPr>
          <w:rFonts w:hint="eastAsia" w:ascii="等线" w:hAnsi="等线" w:eastAsia="等线" w:cs="Times New Roman"/>
          <w:kern w:val="2"/>
          <w:sz w:val="21"/>
          <w:szCs w:val="22"/>
          <w:lang w:val="en-US" w:eastAsia="zh-CN" w:bidi="ar"/>
        </w:rPr>
        <w:tab/>
        <w:t>验收标准与期限</w:t>
      </w:r>
    </w:p>
    <w:p w14:paraId="1E0E237D">
      <w:pPr>
        <w:keepNext w:val="0"/>
        <w:keepLines w:val="0"/>
        <w:widowControl w:val="0"/>
        <w:suppressLineNumbers w:val="0"/>
        <w:spacing w:before="0" w:beforeAutospacing="0" w:after="0" w:afterAutospacing="0"/>
        <w:ind w:left="0" w:right="0"/>
        <w:jc w:val="both"/>
        <w:rPr>
          <w:color w:val="C00000"/>
          <w:lang w:val="en-US"/>
        </w:rPr>
      </w:pPr>
      <w:r>
        <w:rPr>
          <w:rFonts w:hint="eastAsia" w:ascii="等线" w:hAnsi="等线" w:eastAsia="等线" w:cs="Times New Roman"/>
          <w:color w:val="C00000"/>
          <w:kern w:val="2"/>
          <w:sz w:val="21"/>
          <w:szCs w:val="22"/>
          <w:lang w:val="en-US" w:eastAsia="zh-CN" w:bidi="ar"/>
        </w:rPr>
        <w:t>甲方在收到货物后3个工作日内完成外观及数量验收；自收货之日起5日内完成质量验收（包括但不限于开机测试、性能检测等）。验收过程中如发现货物存在数量短缺、外观破损或质量不符合本合同约定的情形，甲方有权拒收或提出书面异议。甲方应向乙方出具验收不合格的书面意见，乙方应在收到该书面意见后5日内根据甲方要求对货物进行更换、修理或采取其他补救措施，并重新申请验收。若第二次验收仍未通过，甲方有权解除本合同，乙方应退还甲方已支付的全部款项，并按本合同第10条承担违约责任。甲方在上述验收期限内未提出书面异议的，视为验收合格。</w:t>
      </w:r>
    </w:p>
    <w:p w14:paraId="0F730FB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8.</w:t>
      </w:r>
      <w:r>
        <w:rPr>
          <w:rFonts w:hint="eastAsia" w:ascii="等线" w:hAnsi="等线" w:eastAsia="等线" w:cs="Times New Roman"/>
          <w:kern w:val="2"/>
          <w:sz w:val="21"/>
          <w:szCs w:val="22"/>
          <w:lang w:val="en-US" w:eastAsia="zh-CN" w:bidi="ar"/>
        </w:rPr>
        <w:tab/>
        <w:t>付款方式</w:t>
      </w:r>
    </w:p>
    <w:p w14:paraId="04FE582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 合同签订后7日内支付30%预付款：389,970元；</w:t>
      </w:r>
    </w:p>
    <w:p w14:paraId="730D0D1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 货物验收合格后15日内支付65%货款：844,935元；</w:t>
      </w:r>
    </w:p>
    <w:p w14:paraId="252709F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 剩余5%质保金：64,995元，于验收合格后12个月内无质量问题一次性付清。</w:t>
      </w:r>
    </w:p>
    <w:p w14:paraId="45D6366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9.</w:t>
      </w:r>
      <w:r>
        <w:rPr>
          <w:rFonts w:hint="eastAsia" w:ascii="等线" w:hAnsi="等线" w:eastAsia="等线" w:cs="Times New Roman"/>
          <w:kern w:val="2"/>
          <w:sz w:val="21"/>
          <w:szCs w:val="22"/>
          <w:lang w:val="en-US" w:eastAsia="zh-CN" w:bidi="ar"/>
        </w:rPr>
        <w:tab/>
        <w:t>售后服务</w:t>
      </w:r>
    </w:p>
    <w:p w14:paraId="6C8F75F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乙方提供3年原厂上门保修服务，响应时间≤4小时，维修周期≤2个工作日。保修期内硬件故障免费更换，软件问题提供远程支持。</w:t>
      </w:r>
    </w:p>
    <w:p w14:paraId="5964AEF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10.</w:t>
      </w:r>
      <w:r>
        <w:rPr>
          <w:rFonts w:hint="eastAsia" w:ascii="等线" w:hAnsi="等线" w:eastAsia="等线" w:cs="Times New Roman"/>
          <w:kern w:val="2"/>
          <w:sz w:val="21"/>
          <w:szCs w:val="22"/>
          <w:lang w:val="en-US" w:eastAsia="zh-CN" w:bidi="ar"/>
        </w:rPr>
        <w:tab/>
        <w:t>违约责任</w:t>
      </w:r>
    </w:p>
    <w:p w14:paraId="296741F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 乙方逾期交付的，每逾期1日按合同总金额0.05%支付违约金，逾期超15日甲方有权解除合同；</w:t>
      </w:r>
    </w:p>
    <w:p w14:paraId="345D8A7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 甲方逾期付款的，每逾期1日按未付金额0.05%支付违约金；</w:t>
      </w:r>
    </w:p>
    <w:p w14:paraId="74F4E652">
      <w:pPr>
        <w:rPr>
          <w:lang w:val="en-US"/>
        </w:rPr>
      </w:pPr>
      <w:r>
        <w:rPr>
          <w:rFonts w:hint="eastAsia" w:ascii="等线" w:hAnsi="等线" w:eastAsia="等线" w:cs="Times New Roman"/>
          <w:kern w:val="2"/>
          <w:sz w:val="21"/>
          <w:szCs w:val="22"/>
          <w:lang w:val="en-US" w:eastAsia="zh-CN" w:bidi="ar"/>
        </w:rPr>
        <w:t>3.</w:t>
      </w:r>
      <w:r>
        <w:rPr>
          <w:rFonts w:hint="eastAsia"/>
          <w:b/>
          <w:bCs/>
          <w:color w:val="E54C5E" w:themeColor="accent6"/>
          <w14:textFill>
            <w14:solidFill>
              <w14:schemeClr w14:val="accent6"/>
            </w14:solidFill>
          </w14:textFill>
        </w:rPr>
        <w:t>若货物质量不合格且乙方无法在约定期限内更换合格产品的，乙方应返还甲方已支付的款项，并赔偿甲方因此遭受的直接损失</w:t>
      </w:r>
      <w:r>
        <w:rPr>
          <w:rFonts w:hint="eastAsia"/>
        </w:rPr>
        <w:t>。</w:t>
      </w:r>
    </w:p>
    <w:p w14:paraId="19F8886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11.</w:t>
      </w:r>
      <w:r>
        <w:rPr>
          <w:rFonts w:hint="eastAsia" w:ascii="等线" w:hAnsi="等线" w:eastAsia="等线" w:cs="Times New Roman"/>
          <w:kern w:val="2"/>
          <w:sz w:val="21"/>
          <w:szCs w:val="22"/>
          <w:lang w:val="en-US" w:eastAsia="zh-CN" w:bidi="ar"/>
        </w:rPr>
        <w:tab/>
        <w:t>不可抗力</w:t>
      </w:r>
    </w:p>
    <w:p w14:paraId="0246E1F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color w:val="FF0000"/>
          <w:kern w:val="2"/>
          <w:sz w:val="21"/>
          <w:szCs w:val="22"/>
          <w:lang w:val="en-US" w:eastAsia="zh-CN" w:bidi="ar"/>
        </w:rPr>
        <w:t>“本合同所称不可抗力，是指本合同签署后发生的、在签署时不能预见、其发生及后果无法避免且无法克服的客观事件，包括但不限于地震、台风、洪水、火灾、战争、武装冲突、恐怖袭击、政府行为（如征收、禁令、进出口限制）、突发公共卫生事件（如疫情、流行病）、国际或国内运输大规模中断，以及其他依据中国法律或国际商业惯例普遍认定为不可抗力的事件。声称受到不可抗力影响的一方应于该事件发生后3日内以书面形式通知对方，并在15日内提供由相关权威机构（如政府机关、行业协会或公证机构）出具的关于不可抗力事件发生及其持续时间的有效证明。若因不可抗力导致一方无法履行合同义务，该方可相应中止履行，且不视为违约，但应尽合理努力减轻损失；受影响的履约期限应予顺延，顺延时间相当于不可抗力实际影响期间。若不可抗力持续超过60日，致使合同目的无法实现，任何一方均有权书面通知对方解除本合同，双方互不承担违约责任。因不可抗力造成的损失，由各方依据法律规定及公平原则、诚实信用原则各自承担。</w:t>
      </w:r>
    </w:p>
    <w:p w14:paraId="589527C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12.</w:t>
      </w:r>
      <w:r>
        <w:rPr>
          <w:rFonts w:hint="eastAsia" w:ascii="等线" w:hAnsi="等线" w:eastAsia="等线" w:cs="Times New Roman"/>
          <w:kern w:val="2"/>
          <w:sz w:val="21"/>
          <w:szCs w:val="22"/>
          <w:lang w:val="en-US" w:eastAsia="zh-CN" w:bidi="ar"/>
        </w:rPr>
        <w:tab/>
        <w:t>争议解决</w:t>
      </w:r>
    </w:p>
    <w:p w14:paraId="1CCEFD9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协商不成的，提交甲方所在地有管辖权的人民法院诉讼解决。</w:t>
      </w:r>
    </w:p>
    <w:p w14:paraId="79FED07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13.</w:t>
      </w:r>
      <w:r>
        <w:rPr>
          <w:rFonts w:hint="eastAsia" w:ascii="等线" w:hAnsi="等线" w:eastAsia="等线" w:cs="Times New Roman"/>
          <w:kern w:val="2"/>
          <w:sz w:val="21"/>
          <w:szCs w:val="22"/>
          <w:lang w:val="en-US" w:eastAsia="zh-CN" w:bidi="ar"/>
        </w:rPr>
        <w:tab/>
        <w:t>知识产权，如因此产生纠纷由乙</w:t>
      </w:r>
    </w:p>
    <w:p w14:paraId="7C3E50C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乙方保证所售货物不侵犯第三方知识产权方承担全部责任。</w:t>
      </w:r>
    </w:p>
    <w:p w14:paraId="6A527B1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14.</w:t>
      </w:r>
      <w:r>
        <w:rPr>
          <w:rFonts w:hint="eastAsia" w:ascii="等线" w:hAnsi="等线" w:eastAsia="等线" w:cs="Times New Roman"/>
          <w:kern w:val="2"/>
          <w:sz w:val="21"/>
          <w:szCs w:val="22"/>
          <w:lang w:val="en-US" w:eastAsia="zh-CN" w:bidi="ar"/>
        </w:rPr>
        <w:tab/>
        <w:t>保密条款</w:t>
      </w:r>
    </w:p>
    <w:p w14:paraId="0C24DBD2">
      <w:pPr>
        <w:rPr>
          <w:rFonts w:hint="eastAsia"/>
          <w:b/>
          <w:bCs/>
          <w:color w:val="E54C5E" w:themeColor="accent6"/>
          <w14:textFill>
            <w14:solidFill>
              <w14:schemeClr w14:val="accent6"/>
            </w14:solidFill>
          </w14:textFill>
        </w:rPr>
      </w:pPr>
      <w:r>
        <w:rPr>
          <w:rFonts w:hint="eastAsia"/>
          <w:b/>
          <w:bCs/>
          <w:color w:val="E54C5E" w:themeColor="accent6"/>
          <w14:textFill>
            <w14:solidFill>
              <w14:schemeClr w14:val="accent6"/>
            </w14:solidFill>
          </w14:textFill>
        </w:rPr>
        <w:t>双方应对在履行本合同过程中知悉的对方商业秘密及其他保密信息予以严格保密，未经对方书面同意不得向任何第三方披露。本保密义务自本合同生效之日起生效，持续至合同终止后3年。</w:t>
      </w:r>
    </w:p>
    <w:p w14:paraId="093D52BD">
      <w:pPr>
        <w:keepNext w:val="0"/>
        <w:keepLines w:val="0"/>
        <w:widowControl w:val="0"/>
        <w:suppressLineNumbers w:val="0"/>
        <w:spacing w:before="0" w:beforeAutospacing="0" w:after="0" w:afterAutospacing="0"/>
        <w:ind w:left="0" w:right="0"/>
        <w:jc w:val="both"/>
        <w:rPr>
          <w:lang w:val="en-US"/>
        </w:rPr>
      </w:pPr>
      <w:bookmarkStart w:id="0" w:name="_GoBack"/>
      <w:bookmarkEnd w:id="0"/>
      <w:r>
        <w:rPr>
          <w:rFonts w:hint="eastAsia" w:ascii="等线" w:hAnsi="等线" w:eastAsia="等线" w:cs="Times New Roman"/>
          <w:kern w:val="2"/>
          <w:sz w:val="21"/>
          <w:szCs w:val="22"/>
          <w:lang w:val="en-US" w:eastAsia="zh-CN" w:bidi="ar"/>
        </w:rPr>
        <w:t>15.</w:t>
      </w:r>
      <w:r>
        <w:rPr>
          <w:rFonts w:hint="eastAsia" w:ascii="等线" w:hAnsi="等线" w:eastAsia="等线" w:cs="Times New Roman"/>
          <w:kern w:val="2"/>
          <w:sz w:val="21"/>
          <w:szCs w:val="22"/>
          <w:lang w:val="en-US" w:eastAsia="zh-CN" w:bidi="ar"/>
        </w:rPr>
        <w:tab/>
        <w:t>通知与送达</w:t>
      </w:r>
    </w:p>
    <w:p w14:paraId="41DBD4B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所有通知以书面形式（含邮件）发送至本合同首部列明地址，邮件发出后第3日视为送达。</w:t>
      </w:r>
    </w:p>
    <w:p w14:paraId="410640D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16.</w:t>
      </w:r>
      <w:r>
        <w:rPr>
          <w:rFonts w:hint="eastAsia" w:ascii="等线" w:hAnsi="等线" w:eastAsia="等线" w:cs="Times New Roman"/>
          <w:kern w:val="2"/>
          <w:sz w:val="21"/>
          <w:szCs w:val="22"/>
          <w:lang w:val="en-US" w:eastAsia="zh-CN" w:bidi="ar"/>
        </w:rPr>
        <w:tab/>
        <w:t>合同生效与终止</w:t>
      </w:r>
    </w:p>
    <w:p w14:paraId="3D23345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本合同自双方法定代表人或授权代表签字并盖章之日起生效，至货款结清且质保期届满后终止。</w:t>
      </w:r>
    </w:p>
    <w:p w14:paraId="3B68018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17.</w:t>
      </w:r>
      <w:r>
        <w:rPr>
          <w:rFonts w:hint="eastAsia" w:ascii="等线" w:hAnsi="等线" w:eastAsia="等线" w:cs="Times New Roman"/>
          <w:kern w:val="2"/>
          <w:sz w:val="21"/>
          <w:szCs w:val="22"/>
          <w:lang w:val="en-US" w:eastAsia="zh-CN" w:bidi="ar"/>
        </w:rPr>
        <w:tab/>
        <w:t>其他约定</w:t>
      </w:r>
    </w:p>
    <w:p w14:paraId="41D7ACB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 本合同一式肆份，甲乙双方各执贰份，具有同等法律效力；</w:t>
      </w:r>
    </w:p>
    <w:p w14:paraId="25E284B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 未尽事宜可签订补充协议，补充协议与本合同具有同等效力。</w:t>
      </w:r>
    </w:p>
    <w:p w14:paraId="096E537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甲方（盖章）：北京科技发展有限公司</w:t>
      </w:r>
    </w:p>
    <w:p w14:paraId="614BD0F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法定代表人/授权代表：___________</w:t>
      </w:r>
    </w:p>
    <w:p w14:paraId="4A62806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日期：2025年11月06日</w:t>
      </w:r>
    </w:p>
    <w:p w14:paraId="514AC2E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乙方（盖章）：联想（北京）有限公司</w:t>
      </w:r>
    </w:p>
    <w:p w14:paraId="22FBF46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法定代表人/授权代表：___________</w:t>
      </w:r>
    </w:p>
    <w:p w14:paraId="4D16409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日期：2025年11月06日</w:t>
      </w:r>
    </w:p>
    <w:p w14:paraId="2AAA3F46">
      <w:pPr>
        <w:keepNext w:val="0"/>
        <w:keepLines w:val="0"/>
        <w:widowControl w:val="0"/>
        <w:suppressLineNumbers w:val="0"/>
        <w:spacing w:before="0" w:beforeAutospacing="0" w:after="0" w:afterAutospacing="0"/>
        <w:ind w:left="0" w:right="0"/>
        <w:jc w:val="both"/>
        <w:rPr>
          <w:lang w:val="en-US"/>
        </w:rPr>
      </w:pPr>
    </w:p>
    <w:p w14:paraId="38330A9F"/>
    <w:sectPr>
      <w:pgSz w:w="11906" w:h="16838"/>
      <w:pgMar w:top="1440" w:right="1800" w:bottom="1440" w:left="1800" w:header="851" w:footer="992" w:gutter="0"/>
      <w:paperSrc/>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variable"/>
    <w:sig w:usb0="E00006FF" w:usb1="420024FF" w:usb2="02000000" w:usb3="00000000" w:csb0="2000019F" w:csb1="00000000"/>
  </w:font>
  <w:font w:name="等线">
    <w:panose1 w:val="02010600030101010101"/>
    <w:charset w:val="86"/>
    <w:family w:val="auto"/>
    <w:pitch w:val="variable"/>
    <w:sig w:usb0="A00002BF" w:usb1="38CF7CFA" w:usb2="00000016" w:usb3="00000000" w:csb0="0004000F" w:csb1="00000000"/>
  </w:font>
  <w:font w:name="@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644C15"/>
    <w:rsid w:val="14644C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pPr>
      <w:keepNext w:val="0"/>
      <w:keepLines w:val="0"/>
      <w:widowControl/>
      <w:suppressLineNumbers w:val="0"/>
      <w:spacing w:before="0" w:beforeAutospacing="0" w:after="0" w:afterAutospacing="0"/>
      <w:ind w:left="0" w:right="0"/>
    </w:pPr>
    <w:rPr>
      <w:rFonts w:hint="eastAsia" w:ascii="等线" w:hAnsi="等线" w:eastAsia="等线" w:cs="等线"/>
      <w:kern w:val="2"/>
      <w:sz w:val="21"/>
      <w:szCs w:val="22"/>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2025-11-11T16:48:00Z</dcterms:created>
  <dc:creator>叮叮叮</dc:creator>
  <cp:lastModifiedBy>叮叮叮</cp:lastModifiedBy>
  <dcterms:modified xsi:type="dcterms:W3CDTF">2025-11-11T16:51:51Z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EB27D01E244B495FB4F40D0EC3C7E361_11</vt:lpwstr>
  </property>
  <property fmtid="{D5CDD505-2E9C-101B-9397-08002B2CF9AE}" pid="4" name="KSOTemplateDocerSaveRecord">
    <vt:lpwstr>eyJoZGlkIjoiYTQ3YmJiOTU4YjhhOTRmM2QzY2Q3NmZmZjkyMzFlYmMiLCJ1c2VySWQiOiI3MDk3MTUyMDYifQ==</vt:lpwstr>
  </property>
</Properties>
</file>