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797F6">
      <w:pPr>
        <w:spacing w:line="240" w:lineRule="auto"/>
        <w:jc w:val="center"/>
        <w:rPr>
          <w:rFonts w:hint="eastAsia" w:ascii="微软雅黑" w:hAnsi="微软雅黑" w:eastAsia="微软雅黑" w:cs="微软雅黑"/>
          <w:b/>
          <w:sz w:val="44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4"/>
          <w:szCs w:val="52"/>
          <w:lang w:val="en-US" w:eastAsia="zh-CN"/>
        </w:rPr>
        <w:t>建材采购合同</w:t>
      </w:r>
    </w:p>
    <w:p w14:paraId="2BF09870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合同编号：</w:t>
      </w:r>
      <w:r>
        <w:rPr>
          <w:rFonts w:hint="eastAsia" w:ascii="微软雅黑" w:hAnsi="微软雅黑" w:eastAsia="微软雅黑" w:cs="微软雅黑"/>
        </w:rPr>
        <w:t>MM-2025-003</w:t>
      </w:r>
    </w:p>
    <w:p w14:paraId="343705A7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甲方（买方）：</w:t>
      </w:r>
      <w:r>
        <w:rPr>
          <w:rFonts w:hint="eastAsia" w:ascii="微软雅黑" w:hAnsi="微软雅黑" w:eastAsia="微软雅黑" w:cs="微软雅黑"/>
        </w:rPr>
        <w:t>绿地建设集团</w:t>
      </w:r>
    </w:p>
    <w:p w14:paraId="06E317BC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乙方（卖方）：</w:t>
      </w:r>
      <w:r>
        <w:rPr>
          <w:rFonts w:hint="eastAsia" w:ascii="微软雅黑" w:hAnsi="微软雅黑" w:eastAsia="微软雅黑" w:cs="微软雅黑"/>
        </w:rPr>
        <w:t>宏图建材有限公司</w:t>
      </w:r>
    </w:p>
    <w:p w14:paraId="7BBCC6DF">
      <w:pPr>
        <w:spacing w:line="240" w:lineRule="auto"/>
      </w:pPr>
      <w:bookmarkStart w:id="0" w:name="_GoBack"/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鉴于：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1.甲方因工程项目建设需要采购高强度钢筋；2.乙方具备钢筋生产/销售资质且能满足甲方采购需求；3.双方在平等自愿基础上达成如下协议，以兹共同遵守。</w:t>
      </w:r>
    </w:p>
    <w:p w14:paraId="69E1D58E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第一条 合同主体信息</w:t>
      </w:r>
    </w:p>
    <w:p w14:paraId="654D63D8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1.1 甲方（买方）：绿地建设集团，统一社会信用代码：[请填写]，法定代表人：[请填写]，地址：[请填写]，联系方式：[请填写]，开户行：[请填写]，账号：[请填写]。</w:t>
      </w:r>
    </w:p>
    <w:p w14:paraId="36AD3BD3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1.2 乙方（卖方）：宏图建材有限公司，统一社会信用代码：[请填写]，法定代表人：[请填写]，地址：[请填写]，联系方式：[请填写]，开户行：[请填写]，账号：[请填写]。</w:t>
      </w:r>
    </w:p>
    <w:p w14:paraId="32EB8B82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第二条 标的物与质量标准</w:t>
      </w:r>
    </w:p>
    <w:p w14:paraId="55C00F4C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2.1 乙方应向甲方提供高强度钢筋（型号：HRB400E，直径：12mm/16mm/20mm，数量：500吨，具体规格及数量详见附件一《采购清单》）。</w:t>
      </w:r>
    </w:p>
    <w:p w14:paraId="4FD3FAEE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2.2 标的物质量应符合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GB 1499.2-2024《钢筋混凝土用钢 第2部分：热轧带肋钢筋》强制性国家标准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。</w:t>
      </w:r>
    </w:p>
    <w:p w14:paraId="0EB6D67A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2.3 乙方保证提供的货物为全新正品，随货附产品合格证、出厂检验报告及第三方检测报告，并对产品质量承担全部责任。</w:t>
      </w:r>
    </w:p>
    <w:p w14:paraId="453D9E31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第三条 合同总价与支付</w:t>
      </w:r>
    </w:p>
    <w:p w14:paraId="72290492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本合同总价为人民币伍佰万元整（¥5,000,000.00）。</w:t>
      </w:r>
    </w:p>
    <w:p w14:paraId="45955685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甲方应在合同签订后3日内支付30%预付款。</w:t>
      </w:r>
    </w:p>
    <w:p w14:paraId="7A817EB4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3.3 剩余70%货款（¥3,500,000.00）在甲方验收合格且收到乙方开具的全额增值税专用发票后15日内支付。</w:t>
      </w:r>
    </w:p>
    <w:p w14:paraId="67CC6BCE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第四条 交付与运输</w:t>
      </w:r>
    </w:p>
    <w:p w14:paraId="310A1361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4.1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交付时间：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合同签订后30日内分三批交付，具体批次及数量见附件二《交付计划表》</w:t>
      </w:r>
    </w:p>
    <w:p w14:paraId="16F75956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4.2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交付地点：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甲方指定项目地点（XX市XX区XX路XX号工地）</w:t>
      </w:r>
    </w:p>
    <w:p w14:paraId="35E96757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4.3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交付方式：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乙方负责汽运并卸货至甲方指定地点，运输过程中的毁损灭失风险由乙方承担</w:t>
      </w:r>
    </w:p>
    <w:p w14:paraId="24E3F626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运输费用：由乙方承担。</w:t>
      </w:r>
    </w:p>
    <w:p w14:paraId="7E78F9D7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第五条 风险转移</w:t>
      </w:r>
    </w:p>
    <w:p w14:paraId="08B6F96C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货物毁损、灭失的风险，自</w:t>
      </w:r>
      <w:r>
        <w:rPr>
          <w:rFonts w:hint="eastAsia" w:ascii="微软雅黑" w:hAnsi="微软雅黑" w:eastAsia="微软雅黑" w:cs="微软雅黑"/>
          <w:b/>
        </w:rPr>
        <w:t>买方验收合格</w:t>
      </w:r>
      <w:r>
        <w:rPr>
          <w:rFonts w:hint="eastAsia" w:ascii="微软雅黑" w:hAnsi="微软雅黑" w:eastAsia="微软雅黑" w:cs="微软雅黑"/>
        </w:rPr>
        <w:t>后转移至买方。</w:t>
      </w:r>
    </w:p>
    <w:p w14:paraId="0406F1B5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第六条 验收</w:t>
      </w:r>
    </w:p>
    <w:p w14:paraId="65F7F445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6.1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验收标准：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应符合GB 1499.2-2024的规定，包含力学性能（屈服强度≥400MPa、抗拉强度≥540MPa）、弯曲性能（弯曲180°无裂纹）、重量偏差（10～12mm±5.5%，14～20mm±4.5%）、表面质量及疲劳性能检验</w:t>
      </w:r>
    </w:p>
    <w:p w14:paraId="4F8F5D00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6.2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验收流程：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1.外观验收：甲方在收货当日核对规格、数量及包装完好性；2.质量检测：甲方在7日内委托第三方机构按GB 1499.2-2024标准抽样检测</w:t>
      </w:r>
    </w:p>
    <w:p w14:paraId="312CB415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6.3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验收期限：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全部检测工作应在收货后15日内完成，逾期未提出书面异议视为验收合格</w:t>
      </w:r>
    </w:p>
    <w:p w14:paraId="13811D66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6.4 验收不合格处理：[空]验收不合格的，甲方有权拒收并要求乙方在5日内无条件换货，因此产生的费用由乙方承担</w:t>
      </w:r>
    </w:p>
    <w:p w14:paraId="2D05D9CC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第七条 质量保证与售后</w:t>
      </w:r>
    </w:p>
    <w:p w14:paraId="4A3D2FD9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7.1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质保期：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自甲方验收合格之日起12个月</w:t>
      </w:r>
    </w:p>
    <w:p w14:paraId="56D4E401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7.2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质保责任：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质保期内如产品存在质量问题，乙方应在收到通知后24小时内响应，48小时内完成免费更换并承担全部费用；如因质量问题导致甲方损失的，乙方应承担赔偿责任</w:t>
      </w:r>
    </w:p>
    <w:p w14:paraId="55556405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第八条 包装要求</w:t>
      </w:r>
    </w:p>
    <w:p w14:paraId="24864E5E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8.1 乙方应采用防锈捆扎包装，每捆重量不超过2吨，包装物应标明产品规格、数量、生产日期及乙方名称，包装费用由乙方承担。</w:t>
      </w:r>
    </w:p>
    <w:p w14:paraId="6AF7D69C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第九条 知识产权</w:t>
      </w:r>
    </w:p>
    <w:p w14:paraId="5CB0D887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9.1 乙方保证交付的货物不侵犯任何第三方知识产权，如因此产生侵权纠纷，由乙方承担全部责任并赔偿甲方损失。</w:t>
      </w:r>
    </w:p>
    <w:p w14:paraId="4ACE77CA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第十条 保密义务</w:t>
      </w:r>
    </w:p>
    <w:p w14:paraId="01E12268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10.1 双方应对本合同内容及履行过程中知悉的商业秘密（包括但不限于价格、技术参数、客户信息）承担保密义务，保密期限为合同终止后3年。</w:t>
      </w:r>
    </w:p>
    <w:p w14:paraId="24A707EC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第十一条 不可抗力</w:t>
      </w:r>
    </w:p>
    <w:p w14:paraId="2339E275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11.1 发生不可抗力事件（如地震、战争等），受影响方应在7日内书面通知对方并提供证明文件，根据影响程度可中止或解除合同，互不承担责任。</w:t>
      </w:r>
    </w:p>
    <w:p w14:paraId="13BEEEA1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第十二条 违约责任（高风险点：L0014）</w:t>
      </w:r>
    </w:p>
    <w:p w14:paraId="393C04AA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12.1 乙方逾期交付货物的，每逾期一日应按合同总价的0.05%向甲方支付违约金（累计不超过合同总价的5%）；逾期超过15日的，甲方有权解除合同并要求乙方赔偿损失。12.2 甲方逾期付款的，每逾期一日应按未付金额的0.05%向乙方支付违约金（累计不超过未付金额的3%）。12.3 产品质量不符合合同约定的，乙方应无条件退货并按合同总价的10%支付违约金，同时赔偿甲方实际损失。12.4 任何一方违反本合同其他约定的，应赔偿对方因此遭受的直接损失。</w:t>
      </w:r>
    </w:p>
    <w:p w14:paraId="4EA5CACB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第十三条 合同变更与解除</w:t>
      </w:r>
    </w:p>
    <w:p w14:paraId="28A171D4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13.1 双方协商一致，应签订书面协议变更或解除本合同。13.2 发生下列情形之一的，守约方有权单方解除合同：（1）一方严重违约（包括但不限于逾期履行主要义务超过15日）导致合同目的无法实现；（2）一方进入破产、清算或解散程序；（3）因不可抗力致使合同主要义务无法履行超过30日。13.3 合同解除后，违约方应赔偿守约方直接经济损失。</w:t>
      </w:r>
    </w:p>
    <w:p w14:paraId="64F4DC8E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第十四条 争议解决</w:t>
      </w:r>
    </w:p>
    <w:p w14:paraId="4053B2E0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14.1 双方协商解决；协商不成的，任何一方均有权向合同签订地（具体地址以本合同第15.3条约定为准）人民法院提起诉讼。诉讼费用（包括案件受理费、律师费、保全费、鉴定费）由败诉方承担。</w:t>
      </w:r>
    </w:p>
    <w:p w14:paraId="72F510A6">
      <w:pPr>
        <w:pStyle w:val="2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第十五条 合同生效</w:t>
      </w:r>
    </w:p>
    <w:p w14:paraId="34EFB13E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15.1 本合同自双方签字盖章之日起生效。</w:t>
      </w:r>
    </w:p>
    <w:p w14:paraId="130D5B77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15.2</w:t>
      </w:r>
      <w:r>
        <w:rPr>
          <w:rFonts w:hint="eastAsia" w:ascii="微软雅黑" w:hAnsi="微软雅黑" w:eastAsia="微软雅黑" w:cs="微软雅黑"/>
          <w:b/>
        </w:rPr>
        <w:t>签署日期：</w:t>
      </w:r>
      <w:r>
        <w:rPr>
          <w:rFonts w:hint="eastAsia" w:ascii="微软雅黑" w:hAnsi="微软雅黑" w:eastAsia="微软雅黑" w:cs="微软雅黑"/>
        </w:rPr>
        <w:t>2025年11月5日</w:t>
      </w:r>
    </w:p>
    <w:p w14:paraId="4ADF7033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15.3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签署地点：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[请填写详细地址，精确到市辖区，如：XX省XX市XX区XX路XX号]</w:t>
      </w:r>
    </w:p>
    <w:p w14:paraId="4972B8E1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15.4</w:t>
      </w: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合同份数：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本合同一式肆份，甲方执贰份，乙方执贰份，具有同等法律效力。合同附件为本合同组成部分，与本合同具有同等法律效力。</w:t>
      </w:r>
    </w:p>
    <w:p w14:paraId="5E494DC6">
      <w:pPr>
        <w:spacing w:line="240" w:lineRule="auto"/>
      </w:pP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甲方（盖章）：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[甲方公章] 绿地建设集团（公司全称须与公章一致）</w:t>
      </w:r>
    </w:p>
    <w:p w14:paraId="6842B652">
      <w:pPr>
        <w:spacing w:line="240" w:lineRule="auto"/>
      </w:pP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授权代表（签字）：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（职务：[请填写]）</w:t>
      </w:r>
    </w:p>
    <w:p w14:paraId="2FD98B1B">
      <w:pPr>
        <w:spacing w:line="240" w:lineRule="auto"/>
      </w:pP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乙方（盖章）：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[乙方公章] 宏图建材有限公司（公司全称须与公章一致）</w:t>
      </w:r>
    </w:p>
    <w:p w14:paraId="53C1797A">
      <w:pPr>
        <w:spacing w:line="240" w:lineRule="auto"/>
      </w:pPr>
      <w:r>
        <w:rPr>
          <w:rFonts w:hint="eastAsia" w:ascii="微软雅黑" w:hAnsi="微软雅黑" w:eastAsia="微软雅黑" w:cs="微软雅黑"/>
          <w:b/>
          <w:kern w:val="2"/>
          <w:sz w:val="21"/>
          <w:szCs w:val="24"/>
          <w:lang w:val="en-US" w:eastAsia="zh-CN" w:bidi="ar-SA"/>
        </w:rPr>
        <w:t>授权代表（签字）：</w:t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（职务：[请填写]）</w:t>
      </w:r>
    </w:p>
    <w:p w14:paraId="4E647A95">
      <w:pPr>
        <w:spacing w:line="240" w:lineRule="auto"/>
        <w:rPr>
          <w:rFonts w:hint="eastAsia" w:ascii="微软雅黑" w:hAnsi="微软雅黑" w:eastAsia="微软雅黑" w:cs="微软雅黑"/>
        </w:rPr>
      </w:pPr>
    </w:p>
    <w:p w14:paraId="7B071395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附件清单：</w:t>
      </w:r>
    </w:p>
    <w:p w14:paraId="5EC7980E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附件一：《采购清单》（含产品规格、数量、单价、技术参数）</w:t>
      </w:r>
    </w:p>
    <w:p w14:paraId="1A5C5B03">
      <w:pPr>
        <w:spacing w:line="240" w:lineRule="auto"/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附件二：《交付计划表》（含批次、交付时间、数量、联系人）</w:t>
      </w:r>
    </w:p>
    <w:p w14:paraId="615A31EC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附件三：乙方资质文件（营业执照、生产许可证、质量管理体系认证证书复印件加盖公章）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80F4D"/>
    <w:rsid w:val="55214D3B"/>
    <w:rsid w:val="75E8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2025-11-05T06:09:00Z</dcterms:created>
  <dc:creator>YI</dc:creator>
  <cp:lastModifiedBy>YI</cp:lastModifiedBy>
  <dcterms:modified xsi:type="dcterms:W3CDTF">2025-11-05T06:19:05Z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71D41D01A5164096B14D008733FF2B1F_11</vt:lpwstr>
  </property>
  <property fmtid="{D5CDD505-2E9C-101B-9397-08002B2CF9AE}" pid="4" name="KSOTemplateDocerSaveRecord">
    <vt:lpwstr>eyJoZGlkIjoiNzk2NzQzMDY3ZDM4Y2E1YmQzMDFlMjdkOTc5YTAyOTEiLCJ1c2VySWQiOiIzNTUyODg0MzgifQ==</vt:lpwstr>
  </property>
</Properties>
</file>