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eastAsia="zh-CN"/>
        </w:rPr>
      </w:pPr>
      <w:r>
        <w:rPr>
          <w:rFonts w:hint="eastAsia"/>
          <w:b/>
          <w:bCs/>
          <w:sz w:val="24"/>
          <w:szCs w:val="24"/>
          <w:lang w:val="en-US" w:eastAsia="zh-CN"/>
        </w:rPr>
        <w:t>中核坤华开封能源发展有限公司</w:t>
      </w:r>
    </w:p>
    <w:p>
      <w:pPr>
        <w:rPr>
          <w:rFonts w:hint="eastAsia"/>
          <w:sz w:val="24"/>
          <w:szCs w:val="24"/>
          <w:lang w:val="en-US" w:eastAsia="zh-CN"/>
        </w:rPr>
      </w:pPr>
      <w:r>
        <w:rPr>
          <w:rFonts w:hint="eastAsia"/>
          <w:sz w:val="24"/>
          <w:szCs w:val="24"/>
          <w:lang w:val="en-US" w:eastAsia="zh-CN"/>
        </w:rPr>
        <w:t>取样地点：开封市龙亭区圳宇花园小区供热站</w:t>
      </w:r>
      <w:r>
        <w:rPr>
          <w:rFonts w:hint="default" w:ascii="Times New Roman" w:hAnsi="Times New Roman" w:cs="Times New Roman"/>
          <w:sz w:val="24"/>
          <w:szCs w:val="24"/>
          <w:lang w:val="en-US" w:eastAsia="zh-CN"/>
        </w:rPr>
        <w:t>2#</w:t>
      </w:r>
    </w:p>
    <w:p>
      <w:pPr>
        <w:rPr>
          <w:rFonts w:hint="eastAsia"/>
          <w:sz w:val="24"/>
          <w:szCs w:val="24"/>
          <w:lang w:val="en-US" w:eastAsia="zh-CN"/>
        </w:rPr>
      </w:pPr>
      <w:r>
        <w:rPr>
          <w:rFonts w:hint="eastAsia"/>
          <w:sz w:val="24"/>
          <w:szCs w:val="24"/>
          <w:lang w:val="en-US" w:eastAsia="zh-CN"/>
        </w:rPr>
        <w:t>时间：</w:t>
      </w:r>
      <w:r>
        <w:rPr>
          <w:rFonts w:hint="default" w:ascii="Times New Roman" w:hAnsi="Times New Roman" w:cs="Times New Roman"/>
          <w:sz w:val="24"/>
          <w:szCs w:val="24"/>
          <w:lang w:val="en-US" w:eastAsia="zh-CN"/>
        </w:rPr>
        <w:t>9：40</w:t>
      </w:r>
    </w:p>
    <w:p>
      <w:pPr>
        <w:rPr>
          <w:rFonts w:hint="default"/>
          <w:sz w:val="24"/>
          <w:szCs w:val="24"/>
          <w:lang w:val="en-US" w:eastAsia="zh-CN"/>
        </w:rPr>
      </w:pPr>
      <w:r>
        <w:rPr>
          <w:rFonts w:hint="eastAsia"/>
          <w:sz w:val="24"/>
          <w:szCs w:val="24"/>
          <w:lang w:val="en-US" w:eastAsia="zh-CN"/>
        </w:rPr>
        <w:t>水温：</w:t>
      </w:r>
      <w:r>
        <w:rPr>
          <w:rFonts w:hint="default" w:ascii="Times New Roman" w:hAnsi="Times New Roman" w:cs="Times New Roman"/>
          <w:sz w:val="24"/>
          <w:szCs w:val="24"/>
          <w:lang w:val="en-US" w:eastAsia="zh-CN"/>
        </w:rPr>
        <w:t>45.2</w:t>
      </w:r>
      <w:r>
        <w:rPr>
          <w:rFonts w:hint="eastAsia"/>
          <w:sz w:val="24"/>
          <w:szCs w:val="24"/>
          <w:lang w:val="en-US" w:eastAsia="zh-CN"/>
        </w:rPr>
        <w:t>℃ 深井尾水（所取水样温度）</w:t>
      </w:r>
    </w:p>
    <w:p>
      <w:pPr>
        <w:rPr>
          <w:rFonts w:hint="eastAsia"/>
          <w:sz w:val="24"/>
          <w:szCs w:val="24"/>
          <w:lang w:val="en-US" w:eastAsia="zh-CN"/>
        </w:rPr>
      </w:pPr>
      <w:r>
        <w:rPr>
          <w:rFonts w:hint="eastAsia"/>
          <w:sz w:val="24"/>
          <w:szCs w:val="24"/>
          <w:lang w:val="en-US" w:eastAsia="zh-CN"/>
        </w:rPr>
        <w:t>出口温度：</w:t>
      </w:r>
      <w:r>
        <w:rPr>
          <w:rFonts w:hint="default" w:ascii="Times New Roman" w:hAnsi="Times New Roman" w:cs="Times New Roman"/>
          <w:sz w:val="24"/>
          <w:szCs w:val="24"/>
          <w:lang w:val="en-US" w:eastAsia="zh-CN"/>
        </w:rPr>
        <w:t>77.6</w:t>
      </w:r>
      <w:r>
        <w:rPr>
          <w:rFonts w:hint="eastAsia"/>
          <w:sz w:val="24"/>
          <w:szCs w:val="24"/>
          <w:lang w:val="en-US" w:eastAsia="zh-CN"/>
        </w:rPr>
        <w:t>℃</w:t>
      </w:r>
    </w:p>
    <w:p>
      <w:pPr>
        <w:rPr>
          <w:rFonts w:hint="default"/>
          <w:sz w:val="24"/>
          <w:szCs w:val="24"/>
          <w:lang w:val="en-US" w:eastAsia="zh-CN"/>
        </w:rPr>
      </w:pPr>
      <w:r>
        <w:rPr>
          <w:rFonts w:hint="eastAsia"/>
          <w:sz w:val="24"/>
          <w:szCs w:val="24"/>
          <w:lang w:val="en-US" w:eastAsia="zh-CN"/>
        </w:rPr>
        <w:t>深度：1600m到2100m</w:t>
      </w:r>
    </w:p>
    <w:p>
      <w:pPr>
        <w:jc w:val="center"/>
        <w:rPr>
          <w:rFonts w:hint="default"/>
          <w:lang w:val="en-US" w:eastAsia="zh-CN"/>
        </w:rPr>
      </w:pPr>
      <w:r>
        <w:rPr>
          <w:rFonts w:hint="default"/>
          <w:lang w:val="en-US" w:eastAsia="zh-CN"/>
        </w:rPr>
        <w:drawing>
          <wp:inline distT="0" distB="0" distL="114300" distR="114300">
            <wp:extent cx="2670175" cy="2002790"/>
            <wp:effectExtent l="0" t="0" r="6350" b="6985"/>
            <wp:docPr id="1" name="图片 1" descr="IMG_20201217_094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201217_094203"/>
                    <pic:cNvPicPr>
                      <a:picLocks noChangeAspect="1"/>
                    </pic:cNvPicPr>
                  </pic:nvPicPr>
                  <pic:blipFill>
                    <a:blip r:embed="rId4"/>
                    <a:stretch>
                      <a:fillRect/>
                    </a:stretch>
                  </pic:blipFill>
                  <pic:spPr>
                    <a:xfrm>
                      <a:off x="0" y="0"/>
                      <a:ext cx="2670175" cy="2002790"/>
                    </a:xfrm>
                    <a:prstGeom prst="rect">
                      <a:avLst/>
                    </a:prstGeom>
                  </pic:spPr>
                </pic:pic>
              </a:graphicData>
            </a:graphic>
          </wp:inline>
        </w:drawing>
      </w:r>
    </w:p>
    <w:p>
      <w:pPr>
        <w:jc w:val="center"/>
        <w:rPr>
          <w:rFonts w:hint="eastAsia"/>
          <w:lang w:val="en-US" w:eastAsia="zh-CN"/>
        </w:rPr>
      </w:pPr>
      <w:r>
        <w:rPr>
          <w:rFonts w:hint="eastAsia"/>
          <w:lang w:val="en-US" w:eastAsia="zh-CN"/>
        </w:rPr>
        <w:t>深井尾水采集现场</w:t>
      </w:r>
    </w:p>
    <w:p>
      <w:pPr>
        <w:jc w:val="center"/>
        <w:rPr>
          <w:rFonts w:hint="eastAsia"/>
          <w:b/>
          <w:bCs/>
          <w:sz w:val="32"/>
          <w:szCs w:val="32"/>
          <w:lang w:val="en-US" w:eastAsia="zh-CN"/>
        </w:rPr>
      </w:pPr>
      <w:r>
        <w:rPr>
          <w:rFonts w:hint="eastAsia"/>
          <w:b/>
          <w:bCs/>
          <w:sz w:val="32"/>
          <w:szCs w:val="32"/>
          <w:lang w:val="en-US" w:eastAsia="zh-CN"/>
        </w:rPr>
        <w:t>圳宇花园小区供热站</w:t>
      </w:r>
    </w:p>
    <w:p>
      <w:pPr>
        <w:jc w:val="left"/>
        <w:rPr>
          <w:rFonts w:hint="eastAsia"/>
          <w:b w:val="0"/>
          <w:bCs w:val="0"/>
          <w:sz w:val="24"/>
          <w:szCs w:val="24"/>
          <w:vertAlign w:val="superscript"/>
          <w:lang w:val="en-US" w:eastAsia="zh-CN"/>
        </w:rPr>
      </w:pPr>
      <w:r>
        <w:rPr>
          <w:rFonts w:hint="eastAsia"/>
          <w:b w:val="0"/>
          <w:bCs w:val="0"/>
          <w:sz w:val="24"/>
          <w:szCs w:val="24"/>
          <w:lang w:val="en-US" w:eastAsia="zh-CN"/>
        </w:rPr>
        <w:t>覆盖面积：</w:t>
      </w:r>
      <w:r>
        <w:rPr>
          <w:rFonts w:hint="default" w:ascii="Times New Roman" w:hAnsi="Times New Roman" w:cs="Times New Roman"/>
          <w:b w:val="0"/>
          <w:bCs w:val="0"/>
          <w:sz w:val="24"/>
          <w:szCs w:val="24"/>
          <w:lang w:val="en-US" w:eastAsia="zh-CN"/>
        </w:rPr>
        <w:t>16</w:t>
      </w:r>
      <w:r>
        <w:rPr>
          <w:rFonts w:hint="eastAsia"/>
          <w:b w:val="0"/>
          <w:bCs w:val="0"/>
          <w:sz w:val="24"/>
          <w:szCs w:val="24"/>
          <w:lang w:val="en-US" w:eastAsia="zh-CN"/>
        </w:rPr>
        <w:t>万</w:t>
      </w:r>
      <w:r>
        <w:rPr>
          <w:rFonts w:hint="default" w:ascii="Times New Roman" w:hAnsi="Times New Roman" w:cs="Times New Roman"/>
          <w:b w:val="0"/>
          <w:bCs w:val="0"/>
          <w:sz w:val="24"/>
          <w:szCs w:val="24"/>
          <w:lang w:val="en-US" w:eastAsia="zh-CN"/>
        </w:rPr>
        <w:t>m</w:t>
      </w:r>
      <w:r>
        <w:rPr>
          <w:rFonts w:hint="default" w:ascii="Times New Roman" w:hAnsi="Times New Roman" w:cs="Times New Roman"/>
          <w:b w:val="0"/>
          <w:bCs w:val="0"/>
          <w:sz w:val="24"/>
          <w:szCs w:val="24"/>
          <w:vertAlign w:val="superscript"/>
          <w:lang w:val="en-US" w:eastAsia="zh-CN"/>
        </w:rPr>
        <w:t>2</w:t>
      </w:r>
    </w:p>
    <w:p>
      <w:pPr>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节约标煤量：</w:t>
      </w:r>
      <w:r>
        <w:rPr>
          <w:rFonts w:hint="default" w:ascii="Times New Roman" w:hAnsi="Times New Roman" w:cs="Times New Roman"/>
          <w:b w:val="0"/>
          <w:bCs w:val="0"/>
          <w:sz w:val="24"/>
          <w:szCs w:val="24"/>
          <w:vertAlign w:val="baseline"/>
          <w:lang w:val="en-US" w:eastAsia="zh-CN"/>
        </w:rPr>
        <w:t>2730</w:t>
      </w:r>
      <w:r>
        <w:rPr>
          <w:rFonts w:hint="eastAsia"/>
          <w:b w:val="0"/>
          <w:bCs w:val="0"/>
          <w:sz w:val="24"/>
          <w:szCs w:val="24"/>
          <w:vertAlign w:val="baseline"/>
          <w:lang w:val="en-US" w:eastAsia="zh-CN"/>
        </w:rPr>
        <w:t>吨/年</w:t>
      </w:r>
    </w:p>
    <w:p>
      <w:pPr>
        <w:jc w:val="left"/>
        <w:rPr>
          <w:rFonts w:hint="eastAsia" w:ascii="Times New Roman" w:hAnsi="Times New Roman" w:cs="Times New Roman"/>
          <w:b w:val="0"/>
          <w:bCs w:val="0"/>
          <w:sz w:val="24"/>
          <w:szCs w:val="24"/>
          <w:vertAlign w:val="baseline"/>
          <w:lang w:val="en-US" w:eastAsia="zh-CN"/>
        </w:rPr>
      </w:pPr>
      <w:r>
        <w:rPr>
          <w:rFonts w:hint="eastAsia"/>
          <w:b w:val="0"/>
          <w:bCs w:val="0"/>
          <w:sz w:val="24"/>
          <w:szCs w:val="24"/>
          <w:vertAlign w:val="baseline"/>
          <w:lang w:val="en-US" w:eastAsia="zh-CN"/>
        </w:rPr>
        <w:t>减排</w:t>
      </w:r>
      <w:r>
        <w:rPr>
          <w:rFonts w:hint="default" w:ascii="Times New Roman" w:hAnsi="Times New Roman" w:cs="Times New Roman"/>
          <w:b w:val="0"/>
          <w:bCs w:val="0"/>
          <w:sz w:val="24"/>
          <w:szCs w:val="24"/>
          <w:vertAlign w:val="baseline"/>
          <w:lang w:val="en-US" w:eastAsia="zh-CN"/>
        </w:rPr>
        <w:t>CO</w:t>
      </w:r>
      <w:r>
        <w:rPr>
          <w:rFonts w:hint="default" w:ascii="Times New Roman" w:hAnsi="Times New Roman" w:cs="Times New Roman"/>
          <w:b w:val="0"/>
          <w:bCs w:val="0"/>
          <w:sz w:val="24"/>
          <w:szCs w:val="24"/>
          <w:vertAlign w:val="subscript"/>
          <w:lang w:val="en-US" w:eastAsia="zh-CN"/>
        </w:rPr>
        <w:t>2</w:t>
      </w:r>
      <w:r>
        <w:rPr>
          <w:rFonts w:hint="eastAsia" w:ascii="Times New Roman" w:hAnsi="Times New Roman" w:cs="Times New Roman"/>
          <w:b w:val="0"/>
          <w:bCs w:val="0"/>
          <w:sz w:val="24"/>
          <w:szCs w:val="24"/>
          <w:vertAlign w:val="baseline"/>
          <w:lang w:val="en-US" w:eastAsia="zh-CN"/>
        </w:rPr>
        <w:t>：6806吨/年</w:t>
      </w:r>
    </w:p>
    <w:p>
      <w:pPr>
        <w:jc w:val="left"/>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减排粉尘：1856吨/年</w:t>
      </w:r>
    </w:p>
    <w:p>
      <w:pPr>
        <w:jc w:val="left"/>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减排SO</w:t>
      </w:r>
      <w:r>
        <w:rPr>
          <w:rFonts w:hint="eastAsia" w:ascii="Times New Roman" w:hAnsi="Times New Roman" w:cs="Times New Roman"/>
          <w:b w:val="0"/>
          <w:bCs w:val="0"/>
          <w:sz w:val="24"/>
          <w:szCs w:val="24"/>
          <w:vertAlign w:val="subscript"/>
          <w:lang w:val="en-US" w:eastAsia="zh-CN"/>
        </w:rPr>
        <w:t>2</w:t>
      </w:r>
      <w:r>
        <w:rPr>
          <w:rFonts w:hint="eastAsia" w:ascii="Times New Roman" w:hAnsi="Times New Roman" w:cs="Times New Roman"/>
          <w:b w:val="0"/>
          <w:bCs w:val="0"/>
          <w:sz w:val="24"/>
          <w:szCs w:val="24"/>
          <w:vertAlign w:val="baseline"/>
          <w:lang w:val="en-US" w:eastAsia="zh-CN"/>
        </w:rPr>
        <w:t>：205吨/年</w:t>
      </w:r>
    </w:p>
    <w:p>
      <w:pPr>
        <w:jc w:val="left"/>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减排</w:t>
      </w:r>
      <w:r>
        <w:rPr>
          <w:rFonts w:hint="default" w:ascii="Times New Roman" w:hAnsi="Times New Roman" w:cs="Times New Roman"/>
          <w:b w:val="0"/>
          <w:bCs w:val="0"/>
          <w:sz w:val="24"/>
          <w:szCs w:val="24"/>
          <w:vertAlign w:val="baseline"/>
          <w:lang w:val="en-US" w:eastAsia="zh-CN"/>
        </w:rPr>
        <w:t>NO</w:t>
      </w:r>
      <w:r>
        <w:rPr>
          <w:rFonts w:hint="default" w:ascii="Times New Roman" w:hAnsi="Times New Roman" w:cs="Times New Roman"/>
          <w:b w:val="0"/>
          <w:bCs w:val="0"/>
          <w:sz w:val="24"/>
          <w:szCs w:val="24"/>
          <w:vertAlign w:val="subscript"/>
          <w:lang w:val="en-US" w:eastAsia="zh-CN"/>
        </w:rPr>
        <w:t>x</w:t>
      </w:r>
      <w:r>
        <w:rPr>
          <w:rFonts w:hint="eastAsia" w:ascii="Times New Roman" w:hAnsi="Times New Roman" w:cs="Times New Roman"/>
          <w:b w:val="0"/>
          <w:bCs w:val="0"/>
          <w:sz w:val="24"/>
          <w:szCs w:val="24"/>
          <w:vertAlign w:val="baseline"/>
          <w:lang w:val="en-US" w:eastAsia="zh-CN"/>
        </w:rPr>
        <w:t>：102吨/年</w:t>
      </w:r>
    </w:p>
    <w:p>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结垢处理：3年一次 20w</w:t>
      </w:r>
    </w:p>
    <w:p>
      <w:pPr>
        <w:jc w:val="both"/>
        <w:rPr>
          <w:rFonts w:hint="default" w:ascii="Arial" w:hAnsi="Arial" w:eastAsia="宋体" w:cs="Arial"/>
          <w:i w:val="0"/>
          <w:caps w:val="0"/>
          <w:color w:val="333333"/>
          <w:spacing w:val="0"/>
          <w:sz w:val="24"/>
          <w:szCs w:val="24"/>
          <w:shd w:val="clear" w:fill="FFFFFF"/>
          <w:lang w:val="en-US" w:eastAsia="zh-CN"/>
        </w:rPr>
      </w:pPr>
    </w:p>
    <w:p>
      <w:pPr>
        <w:jc w:val="both"/>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水样分析：</w:t>
      </w:r>
    </w:p>
    <w:p>
      <w:pPr>
        <w:jc w:val="both"/>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常规八大离子：Li，Na，Mg，Ca，Cl，HCO3，SO4,K</w:t>
      </w:r>
    </w:p>
    <w:p>
      <w:pPr>
        <w:jc w:val="both"/>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微量元素;SiO2,CO2,H2S,Fe</w:t>
      </w:r>
    </w:p>
    <w:p>
      <w:pPr>
        <w:jc w:val="both"/>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沉淀物粒径；</w:t>
      </w:r>
    </w:p>
    <w:p>
      <w:pPr>
        <w:jc w:val="both"/>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沉淀物XRD分析：确定沉淀物类型，称重获取沉淀物重量</w:t>
      </w:r>
    </w:p>
    <w:p>
      <w:pPr>
        <w:jc w:val="both"/>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沉淀物SEM分析</w:t>
      </w:r>
    </w:p>
    <w:p>
      <w:pPr>
        <w:jc w:val="both"/>
        <w:rPr>
          <w:rFonts w:hint="eastAsia" w:ascii="Arial" w:hAnsi="Arial" w:eastAsia="宋体" w:cs="Arial"/>
          <w:i w:val="0"/>
          <w:caps w:val="0"/>
          <w:color w:val="333333"/>
          <w:spacing w:val="0"/>
          <w:sz w:val="24"/>
          <w:szCs w:val="24"/>
          <w:shd w:val="clear" w:fill="FFFFFF"/>
          <w:lang w:val="en-US" w:eastAsia="zh-CN"/>
        </w:rPr>
      </w:pPr>
    </w:p>
    <w:p>
      <w:pPr>
        <w:jc w:val="both"/>
        <w:rPr>
          <w:rFonts w:hint="eastAsia" w:ascii="Arial" w:hAnsi="Arial" w:eastAsia="宋体" w:cs="Arial"/>
          <w:i w:val="0"/>
          <w:caps w:val="0"/>
          <w:color w:val="333333"/>
          <w:spacing w:val="0"/>
          <w:sz w:val="24"/>
          <w:szCs w:val="24"/>
          <w:shd w:val="clear" w:fill="FFFFFF"/>
          <w:lang w:val="en-US" w:eastAsia="zh-CN"/>
        </w:rPr>
      </w:pPr>
    </w:p>
    <w:p>
      <w:pPr>
        <w:jc w:val="both"/>
        <w:rPr>
          <w:rFonts w:hint="eastAsia" w:ascii="Arial" w:hAnsi="Arial" w:eastAsia="宋体" w:cs="Arial"/>
          <w:i w:val="0"/>
          <w:caps w:val="0"/>
          <w:color w:val="333333"/>
          <w:spacing w:val="0"/>
          <w:sz w:val="24"/>
          <w:szCs w:val="24"/>
          <w:shd w:val="clear" w:fill="FFFFFF"/>
          <w:lang w:val="en-US" w:eastAsia="zh-CN"/>
        </w:rPr>
      </w:pPr>
    </w:p>
    <w:p>
      <w:pPr>
        <w:jc w:val="both"/>
        <w:rPr>
          <w:rFonts w:hint="eastAsia" w:ascii="Arial" w:hAnsi="Arial" w:eastAsia="宋体" w:cs="Arial"/>
          <w:i w:val="0"/>
          <w:caps w:val="0"/>
          <w:color w:val="333333"/>
          <w:spacing w:val="0"/>
          <w:sz w:val="24"/>
          <w:szCs w:val="24"/>
          <w:shd w:val="clear" w:fill="FFFFFF"/>
          <w:lang w:val="en-US" w:eastAsia="zh-CN"/>
        </w:rPr>
      </w:pPr>
    </w:p>
    <w:p>
      <w:pPr>
        <w:jc w:val="both"/>
        <w:rPr>
          <w:rFonts w:hint="eastAsia" w:ascii="Arial" w:hAnsi="Arial" w:eastAsia="宋体" w:cs="Arial"/>
          <w:i w:val="0"/>
          <w:caps w:val="0"/>
          <w:color w:val="333333"/>
          <w:spacing w:val="0"/>
          <w:sz w:val="24"/>
          <w:szCs w:val="24"/>
          <w:shd w:val="clear" w:fill="FFFFFF"/>
          <w:lang w:val="en-US" w:eastAsia="zh-CN"/>
        </w:rPr>
      </w:pPr>
    </w:p>
    <w:p>
      <w:pPr>
        <w:jc w:val="both"/>
        <w:rPr>
          <w:rFonts w:hint="eastAsia" w:ascii="Arial" w:hAnsi="Arial" w:eastAsia="宋体" w:cs="Arial"/>
          <w:i w:val="0"/>
          <w:caps w:val="0"/>
          <w:color w:val="333333"/>
          <w:spacing w:val="0"/>
          <w:sz w:val="24"/>
          <w:szCs w:val="24"/>
          <w:shd w:val="clear" w:fill="FFFFFF"/>
          <w:lang w:val="en-US" w:eastAsia="zh-CN"/>
        </w:rPr>
      </w:pPr>
    </w:p>
    <w:p>
      <w:pPr>
        <w:jc w:val="both"/>
        <w:rPr>
          <w:rFonts w:hint="eastAsia" w:ascii="Arial" w:hAnsi="Arial" w:eastAsia="宋体" w:cs="Arial"/>
          <w:i w:val="0"/>
          <w:caps w:val="0"/>
          <w:color w:val="333333"/>
          <w:spacing w:val="0"/>
          <w:sz w:val="24"/>
          <w:szCs w:val="24"/>
          <w:shd w:val="clear" w:fill="FFFFFF"/>
          <w:lang w:val="en-US" w:eastAsia="zh-CN"/>
        </w:rPr>
      </w:pPr>
    </w:p>
    <w:p>
      <w:pPr>
        <w:jc w:val="both"/>
        <w:rPr>
          <w:rFonts w:hint="eastAsia" w:ascii="Arial" w:hAnsi="Arial" w:eastAsia="宋体" w:cs="Arial"/>
          <w:i w:val="0"/>
          <w:caps w:val="0"/>
          <w:color w:val="333333"/>
          <w:spacing w:val="0"/>
          <w:sz w:val="24"/>
          <w:szCs w:val="24"/>
          <w:shd w:val="clear" w:fill="FFFFFF"/>
          <w:lang w:val="en-US" w:eastAsia="zh-CN"/>
        </w:rPr>
      </w:pPr>
    </w:p>
    <w:p>
      <w:pPr>
        <w:jc w:val="both"/>
        <w:rPr>
          <w:rFonts w:hint="eastAsia" w:ascii="Arial" w:hAnsi="Arial" w:eastAsia="宋体" w:cs="Arial"/>
          <w:i w:val="0"/>
          <w:caps w:val="0"/>
          <w:color w:val="333333"/>
          <w:spacing w:val="0"/>
          <w:sz w:val="24"/>
          <w:szCs w:val="24"/>
          <w:shd w:val="clear" w:fill="FFFFFF"/>
          <w:lang w:val="en-US" w:eastAsia="zh-CN"/>
        </w:rPr>
      </w:pPr>
    </w:p>
    <w:p>
      <w:pPr>
        <w:jc w:val="both"/>
        <w:rPr>
          <w:rFonts w:hint="eastAsia" w:ascii="Arial" w:hAnsi="Arial" w:eastAsia="宋体" w:cs="Arial"/>
          <w:i w:val="0"/>
          <w:caps w:val="0"/>
          <w:color w:val="333333"/>
          <w:spacing w:val="0"/>
          <w:sz w:val="24"/>
          <w:szCs w:val="24"/>
          <w:shd w:val="clear" w:fill="FFFFFF"/>
          <w:lang w:val="en-US" w:eastAsia="zh-CN"/>
        </w:rPr>
      </w:pPr>
    </w:p>
    <w:p>
      <w:pPr>
        <w:jc w:val="center"/>
        <w:rPr>
          <w:rFonts w:hint="eastAsia" w:ascii="Arial" w:hAnsi="Arial" w:eastAsia="宋体" w:cs="Arial"/>
          <w:b/>
          <w:bCs/>
          <w:i w:val="0"/>
          <w:caps w:val="0"/>
          <w:color w:val="333333"/>
          <w:spacing w:val="0"/>
          <w:sz w:val="32"/>
          <w:szCs w:val="32"/>
          <w:shd w:val="clear" w:fill="FFFFFF"/>
          <w:lang w:val="en-US" w:eastAsia="zh-CN"/>
        </w:rPr>
      </w:pPr>
      <w:r>
        <w:rPr>
          <w:rFonts w:hint="eastAsia" w:ascii="Arial" w:hAnsi="Arial" w:eastAsia="宋体" w:cs="Arial"/>
          <w:b/>
          <w:bCs/>
          <w:i w:val="0"/>
          <w:caps w:val="0"/>
          <w:color w:val="333333"/>
          <w:spacing w:val="0"/>
          <w:sz w:val="32"/>
          <w:szCs w:val="32"/>
          <w:shd w:val="clear" w:fill="FFFFFF"/>
          <w:lang w:val="en-US" w:eastAsia="zh-CN"/>
        </w:rPr>
        <w:t>室内结垢物理模拟实验</w:t>
      </w:r>
    </w:p>
    <w:p>
      <w:pPr>
        <w:jc w:val="left"/>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b/>
          <w:bCs/>
          <w:i w:val="0"/>
          <w:caps w:val="0"/>
          <w:color w:val="333333"/>
          <w:spacing w:val="0"/>
          <w:sz w:val="24"/>
          <w:szCs w:val="24"/>
          <w:shd w:val="clear" w:fill="FFFFFF"/>
          <w:lang w:val="en-US" w:eastAsia="zh-CN"/>
        </w:rPr>
        <w:t>实验目的：</w:t>
      </w:r>
      <w:r>
        <w:rPr>
          <w:rFonts w:hint="eastAsia" w:ascii="Arial" w:hAnsi="Arial" w:eastAsia="宋体" w:cs="Arial"/>
          <w:i w:val="0"/>
          <w:caps w:val="0"/>
          <w:color w:val="333333"/>
          <w:spacing w:val="0"/>
          <w:sz w:val="24"/>
          <w:szCs w:val="24"/>
          <w:shd w:val="clear" w:fill="FFFFFF"/>
          <w:lang w:val="en-US" w:eastAsia="zh-CN"/>
        </w:rPr>
        <w:t>分析地热水井筒结垢机理，为现场试验及数值模拟提供基本参数；</w:t>
      </w:r>
    </w:p>
    <w:p>
      <w:pPr>
        <w:jc w:val="left"/>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b/>
          <w:bCs/>
          <w:i w:val="0"/>
          <w:caps w:val="0"/>
          <w:color w:val="333333"/>
          <w:spacing w:val="0"/>
          <w:sz w:val="24"/>
          <w:szCs w:val="24"/>
          <w:shd w:val="clear" w:fill="FFFFFF"/>
          <w:lang w:val="en-US" w:eastAsia="zh-CN"/>
        </w:rPr>
        <w:t>试验内容：</w:t>
      </w:r>
      <w:r>
        <w:rPr>
          <w:rFonts w:hint="eastAsia" w:ascii="Arial" w:hAnsi="Arial" w:eastAsia="宋体" w:cs="Arial"/>
          <w:i w:val="0"/>
          <w:caps w:val="0"/>
          <w:color w:val="333333"/>
          <w:spacing w:val="0"/>
          <w:sz w:val="24"/>
          <w:szCs w:val="24"/>
          <w:shd w:val="clear" w:fill="FFFFFF"/>
          <w:lang w:val="en-US" w:eastAsia="zh-CN"/>
        </w:rPr>
        <w:t>探讨地热水从井下某一深度处向地表运移过程中的化学组分变化及沉淀物特点；</w:t>
      </w:r>
    </w:p>
    <w:p>
      <w:pPr>
        <w:jc w:val="left"/>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b/>
          <w:bCs/>
          <w:i w:val="0"/>
          <w:caps w:val="0"/>
          <w:color w:val="333333"/>
          <w:spacing w:val="0"/>
          <w:sz w:val="24"/>
          <w:szCs w:val="24"/>
          <w:shd w:val="clear" w:fill="FFFFFF"/>
          <w:lang w:val="en-US" w:eastAsia="zh-CN"/>
        </w:rPr>
        <w:t>试验器材</w:t>
      </w:r>
      <w:r>
        <w:rPr>
          <w:rFonts w:hint="eastAsia" w:ascii="Arial" w:hAnsi="Arial" w:eastAsia="宋体" w:cs="Arial"/>
          <w:i w:val="0"/>
          <w:caps w:val="0"/>
          <w:color w:val="333333"/>
          <w:spacing w:val="0"/>
          <w:sz w:val="24"/>
          <w:szCs w:val="24"/>
          <w:shd w:val="clear" w:fill="FFFFFF"/>
          <w:lang w:val="en-US" w:eastAsia="zh-CN"/>
        </w:rPr>
        <w:t>：微型高温高压反应釜，ISCO泵，压力传感器，恒温水槽，气泵</w:t>
      </w:r>
    </w:p>
    <w:p>
      <w:pPr>
        <w:jc w:val="left"/>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b/>
          <w:bCs/>
          <w:i w:val="0"/>
          <w:caps w:val="0"/>
          <w:color w:val="333333"/>
          <w:spacing w:val="0"/>
          <w:sz w:val="24"/>
          <w:szCs w:val="24"/>
          <w:shd w:val="clear" w:fill="FFFFFF"/>
          <w:lang w:val="en-US" w:eastAsia="zh-CN"/>
        </w:rPr>
        <w:t>试验步骤</w:t>
      </w:r>
      <w:r>
        <w:rPr>
          <w:rFonts w:hint="eastAsia" w:ascii="Arial" w:hAnsi="Arial" w:eastAsia="宋体" w:cs="Arial"/>
          <w:i w:val="0"/>
          <w:caps w:val="0"/>
          <w:color w:val="333333"/>
          <w:spacing w:val="0"/>
          <w:sz w:val="24"/>
          <w:szCs w:val="24"/>
          <w:shd w:val="clear" w:fill="FFFFFF"/>
          <w:lang w:val="en-US" w:eastAsia="zh-CN"/>
        </w:rPr>
        <w:t>：</w:t>
      </w:r>
    </w:p>
    <w:p>
      <w:pPr>
        <w:numPr>
          <w:ilvl w:val="0"/>
          <w:numId w:val="1"/>
        </w:numPr>
        <w:jc w:val="left"/>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配置地下水溶液。（按照地层水水化学组成配置溶液）或使用原装水进行试验。配好的溶液进行送检，检测溶液各离子浓度与地层水进行比对。一致后开始是实验。</w:t>
      </w:r>
    </w:p>
    <w:p>
      <w:pPr>
        <w:numPr>
          <w:ilvl w:val="0"/>
          <w:numId w:val="1"/>
        </w:numPr>
        <w:ind w:left="0" w:leftChars="0" w:firstLine="0" w:firstLineChars="0"/>
        <w:jc w:val="left"/>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连接管线，检查设备密封性，压力表，温度表等参数，以及对试验数据记录进行测试，以确保实验时能实时读取反应釜内温度，压力。</w:t>
      </w:r>
    </w:p>
    <w:p>
      <w:pPr>
        <w:numPr>
          <w:ilvl w:val="0"/>
          <w:numId w:val="1"/>
        </w:numPr>
        <w:ind w:left="0" w:leftChars="0" w:firstLine="0" w:firstLineChars="0"/>
        <w:jc w:val="left"/>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开始实验，根据现场所获取资料，从取样处深度开始测试，利用ISCO泵向反应釜内通入CO</w:t>
      </w:r>
      <w:r>
        <w:rPr>
          <w:rFonts w:hint="eastAsia" w:ascii="Arial" w:hAnsi="Arial" w:eastAsia="宋体" w:cs="Arial"/>
          <w:i w:val="0"/>
          <w:caps w:val="0"/>
          <w:color w:val="333333"/>
          <w:spacing w:val="0"/>
          <w:sz w:val="24"/>
          <w:szCs w:val="24"/>
          <w:shd w:val="clear" w:fill="FFFFFF"/>
          <w:vertAlign w:val="subscript"/>
          <w:lang w:val="en-US" w:eastAsia="zh-CN"/>
        </w:rPr>
        <w:t>2</w:t>
      </w:r>
      <w:r>
        <w:rPr>
          <w:rFonts w:hint="eastAsia" w:ascii="Arial" w:hAnsi="Arial" w:eastAsia="宋体" w:cs="Arial"/>
          <w:i w:val="0"/>
          <w:caps w:val="0"/>
          <w:color w:val="333333"/>
          <w:spacing w:val="0"/>
          <w:sz w:val="24"/>
          <w:szCs w:val="24"/>
          <w:shd w:val="clear" w:fill="FFFFFF"/>
          <w:vertAlign w:val="baseline"/>
          <w:lang w:val="en-US" w:eastAsia="zh-CN"/>
        </w:rPr>
        <w:t>或者N</w:t>
      </w:r>
      <w:r>
        <w:rPr>
          <w:rFonts w:hint="eastAsia" w:ascii="Arial" w:hAnsi="Arial" w:eastAsia="宋体" w:cs="Arial"/>
          <w:i w:val="0"/>
          <w:caps w:val="0"/>
          <w:color w:val="333333"/>
          <w:spacing w:val="0"/>
          <w:sz w:val="24"/>
          <w:szCs w:val="24"/>
          <w:shd w:val="clear" w:fill="FFFFFF"/>
          <w:vertAlign w:val="subscript"/>
          <w:lang w:val="en-US" w:eastAsia="zh-CN"/>
        </w:rPr>
        <w:t>2</w:t>
      </w:r>
      <w:r>
        <w:rPr>
          <w:rFonts w:hint="eastAsia" w:ascii="Arial" w:hAnsi="Arial" w:eastAsia="宋体" w:cs="Arial"/>
          <w:i w:val="0"/>
          <w:caps w:val="0"/>
          <w:color w:val="333333"/>
          <w:spacing w:val="0"/>
          <w:sz w:val="24"/>
          <w:szCs w:val="24"/>
          <w:shd w:val="clear" w:fill="FFFFFF"/>
          <w:vertAlign w:val="baseline"/>
          <w:lang w:val="en-US" w:eastAsia="zh-CN"/>
        </w:rPr>
        <w:t>（按照地层实际条件进行通气）进行加压，升温，达到该深度处地层压力和温度，开始反应，反应一段时间后，停止反应，观察釜内有无沉淀生成，并取部分水样进行测试，记录下</w:t>
      </w:r>
      <w:r>
        <w:rPr>
          <w:rFonts w:hint="eastAsia" w:ascii="Arial" w:hAnsi="Arial" w:eastAsia="宋体" w:cs="Arial"/>
          <w:i w:val="0"/>
          <w:caps w:val="0"/>
          <w:color w:val="333333"/>
          <w:spacing w:val="0"/>
          <w:sz w:val="24"/>
          <w:szCs w:val="24"/>
          <w:shd w:val="clear" w:fill="FFFFFF"/>
          <w:lang w:val="en-US" w:eastAsia="zh-CN"/>
        </w:rPr>
        <w:t>溶液中</w:t>
      </w:r>
      <w:r>
        <w:rPr>
          <w:rFonts w:hint="eastAsia" w:ascii="Arial" w:hAnsi="Arial" w:eastAsia="宋体" w:cs="Arial"/>
          <w:i w:val="0"/>
          <w:caps w:val="0"/>
          <w:color w:val="333333"/>
          <w:spacing w:val="0"/>
          <w:sz w:val="24"/>
          <w:szCs w:val="24"/>
          <w:shd w:val="clear" w:fill="FFFFFF"/>
          <w:vertAlign w:val="baseline"/>
          <w:lang w:val="en-US" w:eastAsia="zh-CN"/>
        </w:rPr>
        <w:t>各离子浓度。</w:t>
      </w:r>
    </w:p>
    <w:p>
      <w:pPr>
        <w:numPr>
          <w:ilvl w:val="0"/>
          <w:numId w:val="1"/>
        </w:numPr>
        <w:ind w:left="0" w:leftChars="0" w:firstLine="0" w:firstLineChars="0"/>
        <w:jc w:val="left"/>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取所配置地下水溶液，重复上一步实验，反应足够时间，进行降温，降压，达到下一深度地层的温度，压力，反应足够时间，观察反应釜内沉淀，取样送检，记录下溶液中各离子浓度。</w:t>
      </w:r>
    </w:p>
    <w:p>
      <w:pPr>
        <w:numPr>
          <w:ilvl w:val="0"/>
          <w:numId w:val="1"/>
        </w:numPr>
        <w:ind w:left="0" w:leftChars="0" w:firstLine="0" w:firstLineChars="0"/>
        <w:jc w:val="left"/>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取所配置地下水溶液，重复3）4）实验，反应充足时间，进行降温，降压，达到下一深度地层的温度，压力，反应足够时间，观察反应釜内溶液和沉淀，取样送检，记录下溶液中各离子浓度.</w:t>
      </w:r>
    </w:p>
    <w:p>
      <w:pPr>
        <w:numPr>
          <w:ilvl w:val="0"/>
          <w:numId w:val="0"/>
        </w:numPr>
        <w:ind w:leftChars="0"/>
        <w:jc w:val="left"/>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w:t>
      </w:r>
    </w:p>
    <w:p>
      <w:pPr>
        <w:numPr>
          <w:ilvl w:val="0"/>
          <w:numId w:val="2"/>
        </w:numPr>
        <w:ind w:leftChars="0"/>
        <w:jc w:val="left"/>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继续实验，直至深度达到地面，调节温度，压力。反应充足时间，观察反应釜内溶液，取样送检，记录下溶液中各离子浓度。</w:t>
      </w:r>
    </w:p>
    <w:p>
      <w:pPr>
        <w:numPr>
          <w:ilvl w:val="0"/>
          <w:numId w:val="0"/>
        </w:numPr>
        <w:jc w:val="left"/>
        <w:rPr>
          <w:rFonts w:hint="default" w:ascii="Arial" w:hAnsi="Arial" w:eastAsia="宋体" w:cs="Arial"/>
          <w:i w:val="0"/>
          <w:caps w:val="0"/>
          <w:color w:val="333333"/>
          <w:spacing w:val="0"/>
          <w:sz w:val="24"/>
          <w:szCs w:val="24"/>
          <w:shd w:val="clear" w:fill="FFFFFF"/>
          <w:lang w:val="en-US" w:eastAsia="zh-CN"/>
        </w:rPr>
      </w:pPr>
    </w:p>
    <w:p>
      <w:pPr>
        <w:numPr>
          <w:ilvl w:val="0"/>
          <w:numId w:val="0"/>
        </w:numPr>
        <w:jc w:val="left"/>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对各个深度（即温度、压力下）离子浓度的变化进行解释。分析开始沉淀的地层深度，以及各个阶段的结垢量。</w:t>
      </w:r>
    </w:p>
    <w:tbl>
      <w:tblPr>
        <w:tblStyle w:val="2"/>
        <w:tblW w:w="3051" w:type="dxa"/>
        <w:jc w:val="center"/>
        <w:shd w:val="clear" w:color="auto" w:fill="auto"/>
        <w:tblLayout w:type="autofit"/>
        <w:tblCellMar>
          <w:top w:w="0" w:type="dxa"/>
          <w:left w:w="0" w:type="dxa"/>
          <w:bottom w:w="0" w:type="dxa"/>
          <w:right w:w="0" w:type="dxa"/>
        </w:tblCellMar>
      </w:tblPr>
      <w:tblGrid>
        <w:gridCol w:w="1017"/>
        <w:gridCol w:w="1017"/>
        <w:gridCol w:w="1017"/>
      </w:tblGrid>
      <w:tr>
        <w:tblPrEx>
          <w:shd w:val="clear" w:color="auto" w:fill="auto"/>
          <w:tblCellMar>
            <w:top w:w="0" w:type="dxa"/>
            <w:left w:w="0" w:type="dxa"/>
            <w:bottom w:w="0" w:type="dxa"/>
            <w:right w:w="0" w:type="dxa"/>
          </w:tblCellMar>
        </w:tblPrEx>
        <w:trPr>
          <w:trHeight w:val="292" w:hRule="atLeast"/>
          <w:jc w:val="center"/>
        </w:trPr>
        <w:tc>
          <w:tcPr>
            <w:tcW w:w="1017" w:type="dxa"/>
            <w:tcBorders>
              <w:top w:val="nil"/>
              <w:left w:val="nil"/>
              <w:bottom w:val="nil"/>
              <w:right w:val="nil"/>
            </w:tcBorders>
            <w:shd w:val="clear" w:color="auto" w:fill="auto"/>
            <w:noWrap/>
            <w:tcMar>
              <w:top w:w="8" w:type="dxa"/>
              <w:left w:w="8" w:type="dxa"/>
              <w:right w:w="8" w:type="dxa"/>
            </w:tcMar>
            <w:vAlign w:val="bottom"/>
          </w:tcPr>
          <w:p>
            <w:pPr>
              <w:keepNext w:val="0"/>
              <w:keepLines w:val="0"/>
              <w:widowControl/>
              <w:suppressLineNumbers w:val="0"/>
              <w:jc w:val="center"/>
              <w:textAlignment w:val="bottom"/>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深度</w:t>
            </w:r>
          </w:p>
        </w:tc>
        <w:tc>
          <w:tcPr>
            <w:tcW w:w="1017" w:type="dxa"/>
            <w:tcBorders>
              <w:top w:val="nil"/>
              <w:left w:val="nil"/>
              <w:bottom w:val="nil"/>
              <w:right w:val="nil"/>
            </w:tcBorders>
            <w:shd w:val="clear" w:color="auto" w:fill="auto"/>
            <w:noWrap/>
            <w:tcMar>
              <w:top w:w="8" w:type="dxa"/>
              <w:left w:w="8" w:type="dxa"/>
              <w:right w:w="8" w:type="dxa"/>
            </w:tcMar>
            <w:vAlign w:val="bottom"/>
          </w:tcPr>
          <w:p>
            <w:pPr>
              <w:keepNext w:val="0"/>
              <w:keepLines w:val="0"/>
              <w:widowControl/>
              <w:suppressLineNumbers w:val="0"/>
              <w:jc w:val="center"/>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温度</w:t>
            </w:r>
          </w:p>
        </w:tc>
        <w:tc>
          <w:tcPr>
            <w:tcW w:w="1017" w:type="dxa"/>
            <w:tcBorders>
              <w:top w:val="nil"/>
              <w:left w:val="nil"/>
              <w:bottom w:val="nil"/>
              <w:right w:val="nil"/>
            </w:tcBorders>
            <w:shd w:val="clear" w:color="auto" w:fill="auto"/>
            <w:noWrap/>
            <w:tcMar>
              <w:top w:w="8" w:type="dxa"/>
              <w:left w:w="8" w:type="dxa"/>
              <w:right w:w="8" w:type="dxa"/>
            </w:tcMar>
            <w:vAlign w:val="bottom"/>
          </w:tcPr>
          <w:p>
            <w:pPr>
              <w:keepNext w:val="0"/>
              <w:keepLines w:val="0"/>
              <w:widowControl/>
              <w:suppressLineNumbers w:val="0"/>
              <w:jc w:val="center"/>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压力</w:t>
            </w:r>
          </w:p>
        </w:tc>
      </w:tr>
      <w:tr>
        <w:tblPrEx>
          <w:tblCellMar>
            <w:top w:w="0" w:type="dxa"/>
            <w:left w:w="0" w:type="dxa"/>
            <w:bottom w:w="0" w:type="dxa"/>
            <w:right w:w="0" w:type="dxa"/>
          </w:tblCellMar>
        </w:tblPrEx>
        <w:trPr>
          <w:trHeight w:val="330"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w:t>
            </w:r>
          </w:p>
        </w:tc>
        <w:tc>
          <w:tcPr>
            <w:tcW w:w="0" w:type="auto"/>
            <w:tcBorders>
              <w:top w:val="single" w:color="000000" w:sz="8" w:space="0"/>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16.05</w:t>
            </w:r>
          </w:p>
        </w:tc>
        <w:tc>
          <w:tcPr>
            <w:tcW w:w="0" w:type="auto"/>
            <w:tcBorders>
              <w:top w:val="single" w:color="000000" w:sz="8" w:space="0"/>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CellMar>
            <w:top w:w="0" w:type="dxa"/>
            <w:left w:w="0" w:type="dxa"/>
            <w:bottom w:w="0" w:type="dxa"/>
            <w:right w:w="0" w:type="dxa"/>
          </w:tblCellMar>
        </w:tblPrEx>
        <w:trPr>
          <w:trHeight w:val="330" w:hRule="atLeast"/>
          <w:jc w:val="center"/>
        </w:trPr>
        <w:tc>
          <w:tcPr>
            <w:tcW w:w="0" w:type="auto"/>
            <w:tcBorders>
              <w:top w:val="nil"/>
              <w:left w:val="single" w:color="000000" w:sz="8" w:space="0"/>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w:t>
            </w:r>
          </w:p>
        </w:tc>
        <w:tc>
          <w:tcPr>
            <w:tcW w:w="0" w:type="auto"/>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79.66</w:t>
            </w:r>
          </w:p>
        </w:tc>
        <w:tc>
          <w:tcPr>
            <w:tcW w:w="0" w:type="auto"/>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CellMar>
            <w:top w:w="0" w:type="dxa"/>
            <w:left w:w="0" w:type="dxa"/>
            <w:bottom w:w="0" w:type="dxa"/>
            <w:right w:w="0" w:type="dxa"/>
          </w:tblCellMar>
        </w:tblPrEx>
        <w:trPr>
          <w:trHeight w:val="330" w:hRule="atLeast"/>
          <w:jc w:val="center"/>
        </w:trPr>
        <w:tc>
          <w:tcPr>
            <w:tcW w:w="0" w:type="auto"/>
            <w:tcBorders>
              <w:top w:val="nil"/>
              <w:left w:val="single" w:color="000000" w:sz="8" w:space="0"/>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86.2</w:t>
            </w:r>
          </w:p>
        </w:tc>
        <w:tc>
          <w:tcPr>
            <w:tcW w:w="0" w:type="auto"/>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CellMar>
            <w:top w:w="0" w:type="dxa"/>
            <w:left w:w="0" w:type="dxa"/>
            <w:bottom w:w="0" w:type="dxa"/>
            <w:right w:w="0" w:type="dxa"/>
          </w:tblCellMar>
        </w:tblPrEx>
        <w:trPr>
          <w:trHeight w:val="330" w:hRule="atLeast"/>
          <w:jc w:val="center"/>
        </w:trPr>
        <w:tc>
          <w:tcPr>
            <w:tcW w:w="0" w:type="auto"/>
            <w:tcBorders>
              <w:top w:val="nil"/>
              <w:left w:val="single" w:color="000000" w:sz="8" w:space="0"/>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c>
          <w:tcPr>
            <w:tcW w:w="0" w:type="auto"/>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86.28</w:t>
            </w:r>
          </w:p>
        </w:tc>
        <w:tc>
          <w:tcPr>
            <w:tcW w:w="0" w:type="auto"/>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CellMar>
            <w:top w:w="0" w:type="dxa"/>
            <w:left w:w="0" w:type="dxa"/>
            <w:bottom w:w="0" w:type="dxa"/>
            <w:right w:w="0" w:type="dxa"/>
          </w:tblCellMar>
        </w:tblPrEx>
        <w:trPr>
          <w:trHeight w:val="330" w:hRule="atLeast"/>
          <w:jc w:val="center"/>
        </w:trPr>
        <w:tc>
          <w:tcPr>
            <w:tcW w:w="0" w:type="auto"/>
            <w:tcBorders>
              <w:top w:val="nil"/>
              <w:left w:val="single" w:color="000000" w:sz="8" w:space="0"/>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c>
          <w:tcPr>
            <w:tcW w:w="0" w:type="auto"/>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86.3</w:t>
            </w:r>
          </w:p>
        </w:tc>
        <w:tc>
          <w:tcPr>
            <w:tcW w:w="0" w:type="auto"/>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CellMar>
            <w:top w:w="0" w:type="dxa"/>
            <w:left w:w="0" w:type="dxa"/>
            <w:bottom w:w="0" w:type="dxa"/>
            <w:right w:w="0" w:type="dxa"/>
          </w:tblCellMar>
        </w:tblPrEx>
        <w:trPr>
          <w:trHeight w:val="330" w:hRule="atLeast"/>
          <w:jc w:val="center"/>
        </w:trPr>
        <w:tc>
          <w:tcPr>
            <w:tcW w:w="0" w:type="auto"/>
            <w:tcBorders>
              <w:top w:val="nil"/>
              <w:left w:val="single" w:color="000000" w:sz="8" w:space="0"/>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86.31</w:t>
            </w:r>
          </w:p>
        </w:tc>
        <w:tc>
          <w:tcPr>
            <w:tcW w:w="0" w:type="auto"/>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CellMar>
            <w:top w:w="0" w:type="dxa"/>
            <w:left w:w="0" w:type="dxa"/>
            <w:bottom w:w="0" w:type="dxa"/>
            <w:right w:w="0" w:type="dxa"/>
          </w:tblCellMar>
        </w:tblPrEx>
        <w:trPr>
          <w:trHeight w:val="330" w:hRule="atLeast"/>
          <w:jc w:val="center"/>
        </w:trPr>
        <w:tc>
          <w:tcPr>
            <w:tcW w:w="0" w:type="auto"/>
            <w:tcBorders>
              <w:top w:val="nil"/>
              <w:left w:val="single" w:color="000000" w:sz="8" w:space="0"/>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60</w:t>
            </w:r>
          </w:p>
        </w:tc>
        <w:tc>
          <w:tcPr>
            <w:tcW w:w="0" w:type="auto"/>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90.17</w:t>
            </w:r>
          </w:p>
        </w:tc>
        <w:tc>
          <w:tcPr>
            <w:tcW w:w="0" w:type="auto"/>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CellMar>
            <w:top w:w="0" w:type="dxa"/>
            <w:left w:w="0" w:type="dxa"/>
            <w:bottom w:w="0" w:type="dxa"/>
            <w:right w:w="0" w:type="dxa"/>
          </w:tblCellMar>
        </w:tblPrEx>
        <w:trPr>
          <w:trHeight w:val="330" w:hRule="atLeast"/>
          <w:jc w:val="center"/>
        </w:trPr>
        <w:tc>
          <w:tcPr>
            <w:tcW w:w="0" w:type="auto"/>
            <w:tcBorders>
              <w:top w:val="nil"/>
              <w:left w:val="single" w:color="000000" w:sz="8" w:space="0"/>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70</w:t>
            </w:r>
          </w:p>
        </w:tc>
        <w:tc>
          <w:tcPr>
            <w:tcW w:w="0" w:type="auto"/>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111.6</w:t>
            </w:r>
          </w:p>
        </w:tc>
        <w:tc>
          <w:tcPr>
            <w:tcW w:w="0" w:type="auto"/>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0.08</w:t>
            </w:r>
          </w:p>
        </w:tc>
      </w:tr>
      <w:tr>
        <w:tblPrEx>
          <w:tblCellMar>
            <w:top w:w="0" w:type="dxa"/>
            <w:left w:w="0" w:type="dxa"/>
            <w:bottom w:w="0" w:type="dxa"/>
            <w:right w:w="0" w:type="dxa"/>
          </w:tblCellMar>
        </w:tblPrEx>
        <w:trPr>
          <w:trHeight w:val="330" w:hRule="atLeast"/>
          <w:jc w:val="center"/>
        </w:trPr>
        <w:tc>
          <w:tcPr>
            <w:tcW w:w="0" w:type="auto"/>
            <w:tcBorders>
              <w:top w:val="nil"/>
              <w:left w:val="single" w:color="000000" w:sz="8" w:space="0"/>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80</w:t>
            </w:r>
          </w:p>
        </w:tc>
        <w:tc>
          <w:tcPr>
            <w:tcW w:w="0" w:type="auto"/>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125.23</w:t>
            </w:r>
          </w:p>
        </w:tc>
        <w:tc>
          <w:tcPr>
            <w:tcW w:w="0" w:type="auto"/>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0.18</w:t>
            </w:r>
          </w:p>
        </w:tc>
      </w:tr>
      <w:tr>
        <w:tblPrEx>
          <w:shd w:val="clear" w:color="auto" w:fill="auto"/>
          <w:tblCellMar>
            <w:top w:w="0" w:type="dxa"/>
            <w:left w:w="0" w:type="dxa"/>
            <w:bottom w:w="0" w:type="dxa"/>
            <w:right w:w="0" w:type="dxa"/>
          </w:tblCellMar>
        </w:tblPrEx>
        <w:trPr>
          <w:trHeight w:val="330" w:hRule="atLeast"/>
          <w:jc w:val="center"/>
        </w:trPr>
        <w:tc>
          <w:tcPr>
            <w:tcW w:w="0" w:type="auto"/>
            <w:tcBorders>
              <w:top w:val="nil"/>
              <w:left w:val="single" w:color="000000" w:sz="8" w:space="0"/>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90</w:t>
            </w:r>
          </w:p>
        </w:tc>
        <w:tc>
          <w:tcPr>
            <w:tcW w:w="0" w:type="auto"/>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133.82</w:t>
            </w:r>
          </w:p>
        </w:tc>
        <w:tc>
          <w:tcPr>
            <w:tcW w:w="0" w:type="auto"/>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0.27</w:t>
            </w:r>
          </w:p>
        </w:tc>
      </w:tr>
      <w:tr>
        <w:tblPrEx>
          <w:tblCellMar>
            <w:top w:w="0" w:type="dxa"/>
            <w:left w:w="0" w:type="dxa"/>
            <w:bottom w:w="0" w:type="dxa"/>
            <w:right w:w="0" w:type="dxa"/>
          </w:tblCellMar>
        </w:tblPrEx>
        <w:trPr>
          <w:trHeight w:val="330" w:hRule="atLeast"/>
          <w:jc w:val="center"/>
        </w:trPr>
        <w:tc>
          <w:tcPr>
            <w:tcW w:w="0" w:type="auto"/>
            <w:tcBorders>
              <w:top w:val="nil"/>
              <w:left w:val="single" w:color="000000" w:sz="8" w:space="0"/>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140.24</w:t>
            </w:r>
          </w:p>
        </w:tc>
        <w:tc>
          <w:tcPr>
            <w:tcW w:w="0" w:type="auto"/>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0.36</w:t>
            </w:r>
          </w:p>
        </w:tc>
      </w:tr>
      <w:tr>
        <w:tblPrEx>
          <w:shd w:val="clear" w:color="auto" w:fill="auto"/>
          <w:tblCellMar>
            <w:top w:w="0" w:type="dxa"/>
            <w:left w:w="0" w:type="dxa"/>
            <w:bottom w:w="0" w:type="dxa"/>
            <w:right w:w="0" w:type="dxa"/>
          </w:tblCellMar>
        </w:tblPrEx>
        <w:trPr>
          <w:trHeight w:val="330" w:hRule="atLeast"/>
          <w:jc w:val="center"/>
        </w:trPr>
        <w:tc>
          <w:tcPr>
            <w:tcW w:w="0" w:type="auto"/>
            <w:tcBorders>
              <w:top w:val="nil"/>
              <w:left w:val="single" w:color="000000" w:sz="8" w:space="0"/>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110</w:t>
            </w:r>
          </w:p>
        </w:tc>
        <w:tc>
          <w:tcPr>
            <w:tcW w:w="0" w:type="auto"/>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145.09</w:t>
            </w:r>
          </w:p>
        </w:tc>
        <w:tc>
          <w:tcPr>
            <w:tcW w:w="0" w:type="auto"/>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0.45</w:t>
            </w:r>
          </w:p>
        </w:tc>
      </w:tr>
      <w:tr>
        <w:tblPrEx>
          <w:tblCellMar>
            <w:top w:w="0" w:type="dxa"/>
            <w:left w:w="0" w:type="dxa"/>
            <w:bottom w:w="0" w:type="dxa"/>
            <w:right w:w="0" w:type="dxa"/>
          </w:tblCellMar>
        </w:tblPrEx>
        <w:trPr>
          <w:trHeight w:val="330" w:hRule="atLeast"/>
          <w:jc w:val="center"/>
        </w:trPr>
        <w:tc>
          <w:tcPr>
            <w:tcW w:w="1017" w:type="dxa"/>
            <w:tcBorders>
              <w:top w:val="nil"/>
              <w:left w:val="single" w:color="000000" w:sz="8" w:space="0"/>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120</w:t>
            </w:r>
          </w:p>
        </w:tc>
        <w:tc>
          <w:tcPr>
            <w:tcW w:w="1017" w:type="dxa"/>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149.02</w:t>
            </w:r>
          </w:p>
        </w:tc>
        <w:tc>
          <w:tcPr>
            <w:tcW w:w="1017" w:type="dxa"/>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0.54</w:t>
            </w:r>
          </w:p>
        </w:tc>
      </w:tr>
      <w:tr>
        <w:tblPrEx>
          <w:shd w:val="clear" w:color="auto" w:fill="auto"/>
          <w:tblCellMar>
            <w:top w:w="0" w:type="dxa"/>
            <w:left w:w="0" w:type="dxa"/>
            <w:bottom w:w="0" w:type="dxa"/>
            <w:right w:w="0" w:type="dxa"/>
          </w:tblCellMar>
        </w:tblPrEx>
        <w:trPr>
          <w:trHeight w:val="330" w:hRule="atLeast"/>
          <w:jc w:val="center"/>
        </w:trPr>
        <w:tc>
          <w:tcPr>
            <w:tcW w:w="1017" w:type="dxa"/>
            <w:tcBorders>
              <w:top w:val="nil"/>
              <w:left w:val="single" w:color="000000" w:sz="8" w:space="0"/>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130</w:t>
            </w:r>
          </w:p>
        </w:tc>
        <w:tc>
          <w:tcPr>
            <w:tcW w:w="1017" w:type="dxa"/>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151.03</w:t>
            </w:r>
          </w:p>
        </w:tc>
        <w:tc>
          <w:tcPr>
            <w:tcW w:w="1017" w:type="dxa"/>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0.63</w:t>
            </w:r>
          </w:p>
        </w:tc>
      </w:tr>
      <w:tr>
        <w:tblPrEx>
          <w:tblCellMar>
            <w:top w:w="0" w:type="dxa"/>
            <w:left w:w="0" w:type="dxa"/>
            <w:bottom w:w="0" w:type="dxa"/>
            <w:right w:w="0" w:type="dxa"/>
          </w:tblCellMar>
        </w:tblPrEx>
        <w:trPr>
          <w:trHeight w:val="330" w:hRule="atLeast"/>
          <w:jc w:val="center"/>
        </w:trPr>
        <w:tc>
          <w:tcPr>
            <w:tcW w:w="1017" w:type="dxa"/>
            <w:tcBorders>
              <w:top w:val="nil"/>
              <w:left w:val="single" w:color="000000" w:sz="8" w:space="0"/>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140</w:t>
            </w:r>
          </w:p>
        </w:tc>
        <w:tc>
          <w:tcPr>
            <w:tcW w:w="1017" w:type="dxa"/>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151.39</w:t>
            </w:r>
          </w:p>
        </w:tc>
        <w:tc>
          <w:tcPr>
            <w:tcW w:w="1017" w:type="dxa"/>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0.72</w:t>
            </w:r>
          </w:p>
        </w:tc>
      </w:tr>
      <w:tr>
        <w:tblPrEx>
          <w:shd w:val="clear" w:color="auto" w:fill="auto"/>
          <w:tblCellMar>
            <w:top w:w="0" w:type="dxa"/>
            <w:left w:w="0" w:type="dxa"/>
            <w:bottom w:w="0" w:type="dxa"/>
            <w:right w:w="0" w:type="dxa"/>
          </w:tblCellMar>
        </w:tblPrEx>
        <w:trPr>
          <w:trHeight w:val="330" w:hRule="atLeast"/>
          <w:jc w:val="center"/>
        </w:trPr>
        <w:tc>
          <w:tcPr>
            <w:tcW w:w="1017" w:type="dxa"/>
            <w:tcBorders>
              <w:top w:val="nil"/>
              <w:left w:val="single" w:color="000000" w:sz="8" w:space="0"/>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150</w:t>
            </w:r>
          </w:p>
        </w:tc>
        <w:tc>
          <w:tcPr>
            <w:tcW w:w="1017" w:type="dxa"/>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152.72</w:t>
            </w:r>
          </w:p>
        </w:tc>
        <w:tc>
          <w:tcPr>
            <w:tcW w:w="1017" w:type="dxa"/>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0.81</w:t>
            </w:r>
          </w:p>
        </w:tc>
      </w:tr>
      <w:tr>
        <w:tblPrEx>
          <w:tblCellMar>
            <w:top w:w="0" w:type="dxa"/>
            <w:left w:w="0" w:type="dxa"/>
            <w:bottom w:w="0" w:type="dxa"/>
            <w:right w:w="0" w:type="dxa"/>
          </w:tblCellMar>
        </w:tblPrEx>
        <w:trPr>
          <w:trHeight w:val="330" w:hRule="atLeast"/>
          <w:jc w:val="center"/>
        </w:trPr>
        <w:tc>
          <w:tcPr>
            <w:tcW w:w="1017" w:type="dxa"/>
            <w:tcBorders>
              <w:top w:val="nil"/>
              <w:left w:val="single" w:color="000000" w:sz="8" w:space="0"/>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160</w:t>
            </w:r>
          </w:p>
        </w:tc>
        <w:tc>
          <w:tcPr>
            <w:tcW w:w="1017" w:type="dxa"/>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154.75</w:t>
            </w:r>
          </w:p>
        </w:tc>
        <w:tc>
          <w:tcPr>
            <w:tcW w:w="1017" w:type="dxa"/>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w:t>
            </w:r>
          </w:p>
        </w:tc>
      </w:tr>
      <w:tr>
        <w:tblPrEx>
          <w:tblCellMar>
            <w:top w:w="0" w:type="dxa"/>
            <w:left w:w="0" w:type="dxa"/>
            <w:bottom w:w="0" w:type="dxa"/>
            <w:right w:w="0" w:type="dxa"/>
          </w:tblCellMar>
        </w:tblPrEx>
        <w:trPr>
          <w:trHeight w:val="330" w:hRule="atLeast"/>
          <w:jc w:val="center"/>
        </w:trPr>
        <w:tc>
          <w:tcPr>
            <w:tcW w:w="1017" w:type="dxa"/>
            <w:tcBorders>
              <w:top w:val="nil"/>
              <w:left w:val="single" w:color="000000" w:sz="8" w:space="0"/>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170</w:t>
            </w:r>
          </w:p>
        </w:tc>
        <w:tc>
          <w:tcPr>
            <w:tcW w:w="1017" w:type="dxa"/>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155.38</w:t>
            </w:r>
          </w:p>
        </w:tc>
        <w:tc>
          <w:tcPr>
            <w:tcW w:w="1017" w:type="dxa"/>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w:t>
            </w:r>
          </w:p>
        </w:tc>
      </w:tr>
      <w:tr>
        <w:tblPrEx>
          <w:tblCellMar>
            <w:top w:w="0" w:type="dxa"/>
            <w:left w:w="0" w:type="dxa"/>
            <w:bottom w:w="0" w:type="dxa"/>
            <w:right w:w="0" w:type="dxa"/>
          </w:tblCellMar>
        </w:tblPrEx>
        <w:trPr>
          <w:trHeight w:val="330" w:hRule="atLeast"/>
          <w:jc w:val="center"/>
        </w:trPr>
        <w:tc>
          <w:tcPr>
            <w:tcW w:w="1017" w:type="dxa"/>
            <w:tcBorders>
              <w:top w:val="nil"/>
              <w:left w:val="single" w:color="000000" w:sz="8" w:space="0"/>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180</w:t>
            </w:r>
          </w:p>
        </w:tc>
        <w:tc>
          <w:tcPr>
            <w:tcW w:w="1017" w:type="dxa"/>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155.56</w:t>
            </w:r>
          </w:p>
        </w:tc>
        <w:tc>
          <w:tcPr>
            <w:tcW w:w="1017" w:type="dxa"/>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1.08</w:t>
            </w:r>
          </w:p>
        </w:tc>
      </w:tr>
      <w:tr>
        <w:tblPrEx>
          <w:shd w:val="clear" w:color="auto" w:fill="auto"/>
          <w:tblCellMar>
            <w:top w:w="0" w:type="dxa"/>
            <w:left w:w="0" w:type="dxa"/>
            <w:bottom w:w="0" w:type="dxa"/>
            <w:right w:w="0" w:type="dxa"/>
          </w:tblCellMar>
        </w:tblPrEx>
        <w:trPr>
          <w:trHeight w:val="330" w:hRule="atLeast"/>
          <w:jc w:val="center"/>
        </w:trPr>
        <w:tc>
          <w:tcPr>
            <w:tcW w:w="1017" w:type="dxa"/>
            <w:tcBorders>
              <w:top w:val="nil"/>
              <w:left w:val="single" w:color="000000" w:sz="8" w:space="0"/>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190</w:t>
            </w:r>
          </w:p>
        </w:tc>
        <w:tc>
          <w:tcPr>
            <w:tcW w:w="1017" w:type="dxa"/>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155.63</w:t>
            </w:r>
          </w:p>
        </w:tc>
        <w:tc>
          <w:tcPr>
            <w:tcW w:w="1017" w:type="dxa"/>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1.17</w:t>
            </w:r>
          </w:p>
        </w:tc>
      </w:tr>
      <w:tr>
        <w:tblPrEx>
          <w:tblCellMar>
            <w:top w:w="0" w:type="dxa"/>
            <w:left w:w="0" w:type="dxa"/>
            <w:bottom w:w="0" w:type="dxa"/>
            <w:right w:w="0" w:type="dxa"/>
          </w:tblCellMar>
        </w:tblPrEx>
        <w:trPr>
          <w:trHeight w:val="330" w:hRule="atLeast"/>
          <w:jc w:val="center"/>
        </w:trPr>
        <w:tc>
          <w:tcPr>
            <w:tcW w:w="1017" w:type="dxa"/>
            <w:tcBorders>
              <w:top w:val="nil"/>
              <w:left w:val="single" w:color="000000" w:sz="8" w:space="0"/>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w:t>
            </w:r>
          </w:p>
        </w:tc>
        <w:tc>
          <w:tcPr>
            <w:tcW w:w="1017" w:type="dxa"/>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155.68</w:t>
            </w:r>
          </w:p>
        </w:tc>
        <w:tc>
          <w:tcPr>
            <w:tcW w:w="1017" w:type="dxa"/>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1.26</w:t>
            </w:r>
          </w:p>
        </w:tc>
      </w:tr>
      <w:tr>
        <w:tblPrEx>
          <w:tblCellMar>
            <w:top w:w="0" w:type="dxa"/>
            <w:left w:w="0" w:type="dxa"/>
            <w:bottom w:w="0" w:type="dxa"/>
            <w:right w:w="0" w:type="dxa"/>
          </w:tblCellMar>
        </w:tblPrEx>
        <w:trPr>
          <w:trHeight w:val="330" w:hRule="atLeast"/>
          <w:jc w:val="center"/>
        </w:trPr>
        <w:tc>
          <w:tcPr>
            <w:tcW w:w="1017" w:type="dxa"/>
            <w:tcBorders>
              <w:top w:val="nil"/>
              <w:left w:val="single" w:color="000000" w:sz="8" w:space="0"/>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210</w:t>
            </w:r>
          </w:p>
        </w:tc>
        <w:tc>
          <w:tcPr>
            <w:tcW w:w="1017" w:type="dxa"/>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155.74</w:t>
            </w:r>
          </w:p>
        </w:tc>
        <w:tc>
          <w:tcPr>
            <w:tcW w:w="1017" w:type="dxa"/>
            <w:tcBorders>
              <w:top w:val="nil"/>
              <w:left w:val="nil"/>
              <w:bottom w:val="single" w:color="000000" w:sz="8" w:space="0"/>
              <w:right w:val="single" w:color="000000" w:sz="8" w:space="0"/>
            </w:tcBorders>
            <w:shd w:val="clear" w:color="auto" w:fill="auto"/>
            <w:noWrap/>
            <w:tcMar>
              <w:top w:w="8" w:type="dxa"/>
              <w:left w:w="8" w:type="dxa"/>
              <w:right w:w="8"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1.35</w:t>
            </w:r>
          </w:p>
        </w:tc>
      </w:tr>
    </w:tbl>
    <w:p>
      <w:pPr>
        <w:numPr>
          <w:ilvl w:val="0"/>
          <w:numId w:val="0"/>
        </w:numPr>
        <w:jc w:val="left"/>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溶液配置常用单位：</w:t>
      </w:r>
    </w:p>
    <w:p>
      <w:pPr>
        <w:numPr>
          <w:ilvl w:val="0"/>
          <w:numId w:val="0"/>
        </w:numPr>
        <w:jc w:val="left"/>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B的质量浓度：（kg/L） B的质量除以混合物的体积；</w:t>
      </w:r>
    </w:p>
    <w:p>
      <w:pPr>
        <w:numPr>
          <w:ilvl w:val="0"/>
          <w:numId w:val="0"/>
        </w:numPr>
        <w:jc w:val="left"/>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B的浓度：（mol/L） B的物质的量除以混合物的体积；</w:t>
      </w:r>
    </w:p>
    <w:p>
      <w:pPr>
        <w:numPr>
          <w:ilvl w:val="0"/>
          <w:numId w:val="0"/>
        </w:numPr>
        <w:jc w:val="left"/>
        <w:rPr>
          <w:rFonts w:hint="default" w:ascii="Arial" w:hAnsi="Arial" w:eastAsia="宋体" w:cs="Arial"/>
          <w:i w:val="0"/>
          <w:caps w:val="0"/>
          <w:color w:val="333333"/>
          <w:spacing w:val="0"/>
          <w:sz w:val="24"/>
          <w:szCs w:val="24"/>
          <w:shd w:val="clear" w:fill="FFFFFF"/>
          <w:lang w:val="en-US" w:eastAsia="zh-CN"/>
        </w:rPr>
      </w:pPr>
      <w:r>
        <w:rPr>
          <w:rFonts w:hint="default" w:ascii="Arial" w:hAnsi="Arial" w:eastAsia="宋体" w:cs="Arial"/>
          <w:i w:val="0"/>
          <w:caps w:val="0"/>
          <w:color w:val="333333"/>
          <w:spacing w:val="0"/>
          <w:sz w:val="24"/>
          <w:szCs w:val="24"/>
          <w:shd w:val="clear" w:fill="FFFFFF"/>
          <w:lang w:val="en-US" w:eastAsia="zh-CN"/>
        </w:rPr>
        <w:drawing>
          <wp:inline distT="0" distB="0" distL="114300" distR="114300">
            <wp:extent cx="5260340" cy="937260"/>
            <wp:effectExtent l="0" t="0" r="6985" b="5715"/>
            <wp:docPr id="2" name="图片 2" descr="G97{BJ8X1I4)[AJ$6A9%S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97{BJ8X1I4)[AJ$6A9%SRP"/>
                    <pic:cNvPicPr>
                      <a:picLocks noChangeAspect="1"/>
                    </pic:cNvPicPr>
                  </pic:nvPicPr>
                  <pic:blipFill>
                    <a:blip r:embed="rId5"/>
                    <a:stretch>
                      <a:fillRect/>
                    </a:stretch>
                  </pic:blipFill>
                  <pic:spPr>
                    <a:xfrm>
                      <a:off x="0" y="0"/>
                      <a:ext cx="5260340" cy="937260"/>
                    </a:xfrm>
                    <a:prstGeom prst="rect">
                      <a:avLst/>
                    </a:prstGeom>
                  </pic:spPr>
                </pic:pic>
              </a:graphicData>
            </a:graphic>
          </wp:inline>
        </w:drawing>
      </w:r>
    </w:p>
    <w:p>
      <w:pPr>
        <w:numPr>
          <w:ilvl w:val="0"/>
          <w:numId w:val="0"/>
        </w:numPr>
        <w:jc w:val="left"/>
        <w:rPr>
          <w:rFonts w:hint="default" w:ascii="Arial" w:hAnsi="Arial" w:eastAsia="宋体" w:cs="Arial"/>
          <w:i w:val="0"/>
          <w:caps w:val="0"/>
          <w:color w:val="333333"/>
          <w:spacing w:val="0"/>
          <w:sz w:val="24"/>
          <w:szCs w:val="24"/>
          <w:shd w:val="clear" w:fill="FFFFFF"/>
          <w:lang w:val="en-US" w:eastAsia="zh-CN"/>
        </w:rPr>
      </w:pPr>
      <w:r>
        <w:rPr>
          <w:rFonts w:hint="default" w:ascii="Arial" w:hAnsi="Arial" w:eastAsia="宋体" w:cs="Arial"/>
          <w:i w:val="0"/>
          <w:caps w:val="0"/>
          <w:color w:val="333333"/>
          <w:spacing w:val="0"/>
          <w:sz w:val="24"/>
          <w:szCs w:val="24"/>
          <w:shd w:val="clear" w:fill="FFFFFF"/>
          <w:lang w:val="en-US" w:eastAsia="zh-CN"/>
        </w:rPr>
        <w:drawing>
          <wp:inline distT="0" distB="0" distL="114300" distR="114300">
            <wp:extent cx="5256530" cy="923925"/>
            <wp:effectExtent l="0" t="0" r="1270" b="0"/>
            <wp:docPr id="3" name="图片 3" descr="QRG$A1~}SG@LKXI52R4_Q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RG$A1~}SG@LKXI52R4_QDA"/>
                    <pic:cNvPicPr>
                      <a:picLocks noChangeAspect="1"/>
                    </pic:cNvPicPr>
                  </pic:nvPicPr>
                  <pic:blipFill>
                    <a:blip r:embed="rId6"/>
                    <a:stretch>
                      <a:fillRect/>
                    </a:stretch>
                  </pic:blipFill>
                  <pic:spPr>
                    <a:xfrm>
                      <a:off x="0" y="0"/>
                      <a:ext cx="5256530" cy="923925"/>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D59454"/>
    <w:multiLevelType w:val="singleLevel"/>
    <w:tmpl w:val="C5D59454"/>
    <w:lvl w:ilvl="0" w:tentative="0">
      <w:start w:val="1"/>
      <w:numFmt w:val="decimal"/>
      <w:suff w:val="nothing"/>
      <w:lvlText w:val="%1）"/>
      <w:lvlJc w:val="left"/>
    </w:lvl>
  </w:abstractNum>
  <w:abstractNum w:abstractNumId="1">
    <w:nsid w:val="4AEEAA52"/>
    <w:multiLevelType w:val="singleLevel"/>
    <w:tmpl w:val="4AEEAA52"/>
    <w:lvl w:ilvl="0" w:tentative="0">
      <w:start w:val="6"/>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344240"/>
    <w:rsid w:val="08F33B1C"/>
    <w:rsid w:val="1C1E594C"/>
    <w:rsid w:val="20FF462F"/>
    <w:rsid w:val="225D0646"/>
    <w:rsid w:val="34B70EBC"/>
    <w:rsid w:val="35FA1D55"/>
    <w:rsid w:val="3A3A57FA"/>
    <w:rsid w:val="3BD87B89"/>
    <w:rsid w:val="3F37701D"/>
    <w:rsid w:val="500A61B4"/>
    <w:rsid w:val="55E25ED6"/>
    <w:rsid w:val="563B579E"/>
    <w:rsid w:val="6B352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2020-12-18T08:29:00Z</dcterms:created>
  <dc:creator>lin</dc:creator>
  <cp:lastModifiedBy>续我心弦</cp:lastModifiedBy>
  <dcterms:modified xsi:type="dcterms:W3CDTF">2021-01-05T10:42:15Z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