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558" w:rsidRDefault="00516754">
      <w:r>
        <w:t>Partial fractions decomposition allows us to represent a rational function in a particularly useful way for calculus.</w:t>
      </w:r>
      <w:r w:rsidR="00413175">
        <w:t xml:space="preserve">   Since it is fundamentally an algebra technique, we study it in pre-calculus.</w:t>
      </w:r>
    </w:p>
    <w:p w:rsidR="00516754" w:rsidRDefault="00516754">
      <w:r>
        <w:t xml:space="preserve">Here are some high level notes a student requested that I post.  All of this material is in your textbook, although the Heaviside cover-up is not described in the same way.   </w:t>
      </w:r>
    </w:p>
    <w:p w:rsidR="00516754" w:rsidRDefault="00516754" w:rsidP="00516754">
      <w:pPr>
        <w:pStyle w:val="ListParagraph"/>
        <w:numPr>
          <w:ilvl w:val="0"/>
          <w:numId w:val="1"/>
        </w:numPr>
      </w:pPr>
      <w:r>
        <w:t>If the degree of the numerator is greater than or equal to the degree of the denominator, use long division.   Only the remainder will be subjected to further partial fractions decomposition.</w:t>
      </w:r>
    </w:p>
    <w:p w:rsidR="00516754" w:rsidRDefault="00516754" w:rsidP="00516754">
      <w:pPr>
        <w:pStyle w:val="ListParagraph"/>
        <w:numPr>
          <w:ilvl w:val="0"/>
          <w:numId w:val="1"/>
        </w:numPr>
      </w:pPr>
      <w:r>
        <w:t>Factor the denominator completely into products of linear factors, perhaps of multiplicity greater than one, and irreducible quadratic factors, perhaps of multiplicity greater than one.  This is possible because of Chapter 3!</w:t>
      </w:r>
    </w:p>
    <w:p w:rsidR="00516754" w:rsidRDefault="00516754" w:rsidP="00516754">
      <w:pPr>
        <w:pStyle w:val="ListParagraph"/>
        <w:numPr>
          <w:ilvl w:val="0"/>
          <w:numId w:val="1"/>
        </w:numPr>
      </w:pPr>
      <w:r>
        <w:t>The following table should be committed to memory.</w:t>
      </w:r>
    </w:p>
    <w:p w:rsidR="00994132" w:rsidRDefault="00994132" w:rsidP="00994132"/>
    <w:tbl>
      <w:tblPr>
        <w:tblStyle w:val="TableGrid"/>
        <w:tblW w:w="0" w:type="auto"/>
        <w:tblInd w:w="360" w:type="dxa"/>
        <w:tblLook w:val="04A0" w:firstRow="1" w:lastRow="0" w:firstColumn="1" w:lastColumn="0" w:noHBand="0" w:noVBand="1"/>
      </w:tblPr>
      <w:tblGrid>
        <w:gridCol w:w="1656"/>
        <w:gridCol w:w="5256"/>
        <w:gridCol w:w="2304"/>
      </w:tblGrid>
      <w:tr w:rsidR="00276566" w:rsidTr="00276566">
        <w:tc>
          <w:tcPr>
            <w:tcW w:w="1638" w:type="dxa"/>
          </w:tcPr>
          <w:p w:rsidR="00994132" w:rsidRPr="00413175" w:rsidRDefault="00994132" w:rsidP="00413175">
            <w:pPr>
              <w:jc w:val="center"/>
              <w:rPr>
                <w:b/>
                <w:i/>
              </w:rPr>
            </w:pPr>
            <w:r w:rsidRPr="00413175">
              <w:rPr>
                <w:b/>
                <w:i/>
              </w:rPr>
              <w:t>Each factor of this form in denominator</w:t>
            </w:r>
          </w:p>
        </w:tc>
        <w:tc>
          <w:tcPr>
            <w:tcW w:w="4727" w:type="dxa"/>
          </w:tcPr>
          <w:p w:rsidR="00994132" w:rsidRPr="00413175" w:rsidRDefault="00994132" w:rsidP="00413175">
            <w:pPr>
              <w:jc w:val="center"/>
              <w:rPr>
                <w:b/>
                <w:i/>
              </w:rPr>
            </w:pPr>
            <w:r w:rsidRPr="00413175">
              <w:rPr>
                <w:b/>
                <w:i/>
              </w:rPr>
              <w:t>Generates term(s) of the form</w:t>
            </w:r>
          </w:p>
          <w:p w:rsidR="00994132" w:rsidRPr="00413175" w:rsidRDefault="00994132" w:rsidP="00413175">
            <w:pPr>
              <w:jc w:val="center"/>
              <w:rPr>
                <w:b/>
                <w:i/>
              </w:rPr>
            </w:pPr>
            <w:r w:rsidRPr="00413175">
              <w:rPr>
                <w:b/>
                <w:i/>
              </w:rPr>
              <w:t>In the partial fraction decomposition</w:t>
            </w:r>
          </w:p>
        </w:tc>
        <w:tc>
          <w:tcPr>
            <w:tcW w:w="2851" w:type="dxa"/>
          </w:tcPr>
          <w:p w:rsidR="00994132" w:rsidRPr="00413175" w:rsidRDefault="00994132" w:rsidP="00413175">
            <w:pPr>
              <w:jc w:val="center"/>
              <w:rPr>
                <w:b/>
                <w:i/>
              </w:rPr>
            </w:pPr>
            <w:r w:rsidRPr="00413175">
              <w:rPr>
                <w:b/>
                <w:i/>
              </w:rPr>
              <w:t>Comments</w:t>
            </w:r>
          </w:p>
        </w:tc>
      </w:tr>
      <w:tr w:rsidR="00276566" w:rsidTr="00276566">
        <w:tc>
          <w:tcPr>
            <w:tcW w:w="1638" w:type="dxa"/>
            <w:vAlign w:val="center"/>
          </w:tcPr>
          <w:p w:rsidR="00994132" w:rsidRDefault="00994132" w:rsidP="00276566">
            <w:pPr>
              <w:jc w:val="center"/>
            </w:pPr>
            <w:r w:rsidRPr="00994132">
              <w:rPr>
                <w:position w:val="-6"/>
              </w:rPr>
              <w:object w:dxaOrig="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4.25pt" o:ole="">
                  <v:imagedata r:id="rId6" o:title=""/>
                </v:shape>
                <o:OLEObject Type="Embed" ProgID="Equation.3" ShapeID="_x0000_i1025" DrawAspect="Content" ObjectID="_1394797409" r:id="rId7"/>
              </w:object>
            </w:r>
          </w:p>
        </w:tc>
        <w:tc>
          <w:tcPr>
            <w:tcW w:w="4727" w:type="dxa"/>
            <w:vAlign w:val="center"/>
          </w:tcPr>
          <w:p w:rsidR="00994132" w:rsidRDefault="00413175" w:rsidP="00276566">
            <w:pPr>
              <w:jc w:val="center"/>
            </w:pPr>
            <w:r w:rsidRPr="00994132">
              <w:rPr>
                <w:position w:val="-24"/>
              </w:rPr>
              <w:object w:dxaOrig="700" w:dyaOrig="620">
                <v:shape id="_x0000_i1026" type="#_x0000_t75" style="width:35.25pt;height:30.75pt" o:ole="">
                  <v:imagedata r:id="rId8" o:title=""/>
                </v:shape>
                <o:OLEObject Type="Embed" ProgID="Equation.3" ShapeID="_x0000_i1026" DrawAspect="Content" ObjectID="_1394797410" r:id="rId9"/>
              </w:object>
            </w:r>
          </w:p>
        </w:tc>
        <w:tc>
          <w:tcPr>
            <w:tcW w:w="2851" w:type="dxa"/>
          </w:tcPr>
          <w:p w:rsidR="00994132" w:rsidRDefault="00994132" w:rsidP="00994132">
            <w:r>
              <w:t>Only these may be done via Heaviside cover-up!</w:t>
            </w:r>
          </w:p>
        </w:tc>
        <w:bookmarkStart w:id="0" w:name="_GoBack"/>
        <w:bookmarkEnd w:id="0"/>
      </w:tr>
      <w:tr w:rsidR="00276566" w:rsidTr="00276566">
        <w:tc>
          <w:tcPr>
            <w:tcW w:w="1638" w:type="dxa"/>
            <w:vAlign w:val="center"/>
          </w:tcPr>
          <w:p w:rsidR="00994132" w:rsidRDefault="00413175" w:rsidP="00276566">
            <w:pPr>
              <w:jc w:val="center"/>
            </w:pPr>
            <w:r w:rsidRPr="00413175">
              <w:rPr>
                <w:position w:val="-10"/>
              </w:rPr>
              <w:object w:dxaOrig="880" w:dyaOrig="380">
                <v:shape id="_x0000_i1027" type="#_x0000_t75" style="width:44.25pt;height:18.75pt" o:ole="">
                  <v:imagedata r:id="rId10" o:title=""/>
                </v:shape>
                <o:OLEObject Type="Embed" ProgID="Equation.3" ShapeID="_x0000_i1027" DrawAspect="Content" ObjectID="_1394797411" r:id="rId11"/>
              </w:object>
            </w:r>
          </w:p>
        </w:tc>
        <w:tc>
          <w:tcPr>
            <w:tcW w:w="4727" w:type="dxa"/>
            <w:vAlign w:val="center"/>
          </w:tcPr>
          <w:p w:rsidR="00994132" w:rsidRDefault="00413175" w:rsidP="00276566">
            <w:pPr>
              <w:jc w:val="center"/>
            </w:pPr>
            <w:r w:rsidRPr="00413175">
              <w:rPr>
                <w:position w:val="-30"/>
              </w:rPr>
              <w:object w:dxaOrig="3300" w:dyaOrig="700">
                <v:shape id="_x0000_i1028" type="#_x0000_t75" style="width:165pt;height:35.25pt" o:ole="">
                  <v:imagedata r:id="rId12" o:title=""/>
                </v:shape>
                <o:OLEObject Type="Embed" ProgID="Equation.3" ShapeID="_x0000_i1028" DrawAspect="Content" ObjectID="_1394797412" r:id="rId13"/>
              </w:object>
            </w:r>
          </w:p>
        </w:tc>
        <w:tc>
          <w:tcPr>
            <w:tcW w:w="2851" w:type="dxa"/>
          </w:tcPr>
          <w:p w:rsidR="00994132" w:rsidRDefault="00413175" w:rsidP="00994132">
            <w:r w:rsidRPr="00413175">
              <w:rPr>
                <w:position w:val="-10"/>
              </w:rPr>
              <w:object w:dxaOrig="1180" w:dyaOrig="320">
                <v:shape id="_x0000_i1029" type="#_x0000_t75" style="width:59.25pt;height:15.75pt" o:ole="">
                  <v:imagedata r:id="rId14" o:title=""/>
                </v:shape>
                <o:OLEObject Type="Embed" ProgID="Equation.3" ShapeID="_x0000_i1029" DrawAspect="Content" ObjectID="_1394797413" r:id="rId15"/>
              </w:object>
            </w:r>
            <w:r w:rsidR="00994132">
              <w:t>Clearly includes the first row as a special case</w:t>
            </w:r>
          </w:p>
        </w:tc>
      </w:tr>
      <w:tr w:rsidR="00276566" w:rsidTr="00276566">
        <w:tc>
          <w:tcPr>
            <w:tcW w:w="1638" w:type="dxa"/>
            <w:vAlign w:val="center"/>
          </w:tcPr>
          <w:p w:rsidR="00994132" w:rsidRDefault="00276566" w:rsidP="00276566">
            <w:pPr>
              <w:jc w:val="center"/>
            </w:pPr>
            <w:r w:rsidRPr="00276566">
              <w:rPr>
                <w:position w:val="-6"/>
              </w:rPr>
              <w:object w:dxaOrig="1219" w:dyaOrig="320">
                <v:shape id="_x0000_i1030" type="#_x0000_t75" style="width:60.75pt;height:15.75pt" o:ole="">
                  <v:imagedata r:id="rId16" o:title=""/>
                </v:shape>
                <o:OLEObject Type="Embed" ProgID="Equation.3" ShapeID="_x0000_i1030" DrawAspect="Content" ObjectID="_1394797414" r:id="rId17"/>
              </w:object>
            </w:r>
          </w:p>
        </w:tc>
        <w:tc>
          <w:tcPr>
            <w:tcW w:w="4727" w:type="dxa"/>
            <w:vAlign w:val="center"/>
          </w:tcPr>
          <w:p w:rsidR="00994132" w:rsidRDefault="00276566" w:rsidP="00276566">
            <w:pPr>
              <w:jc w:val="center"/>
            </w:pPr>
            <w:r w:rsidRPr="00276566">
              <w:rPr>
                <w:position w:val="-24"/>
              </w:rPr>
              <w:object w:dxaOrig="1260" w:dyaOrig="620">
                <v:shape id="_x0000_i1031" type="#_x0000_t75" style="width:63pt;height:30.75pt" o:ole="">
                  <v:imagedata r:id="rId18" o:title=""/>
                </v:shape>
                <o:OLEObject Type="Embed" ProgID="Equation.3" ShapeID="_x0000_i1031" DrawAspect="Content" ObjectID="_1394797415" r:id="rId19"/>
              </w:object>
            </w:r>
          </w:p>
        </w:tc>
        <w:tc>
          <w:tcPr>
            <w:tcW w:w="2851" w:type="dxa"/>
          </w:tcPr>
          <w:p w:rsidR="00994132" w:rsidRDefault="00413175" w:rsidP="00994132">
            <w:r>
              <w:t>This</w:t>
            </w:r>
            <w:r w:rsidR="00994132">
              <w:t xml:space="preserve"> case addresses the non-real roots</w:t>
            </w:r>
            <w:r>
              <w:t xml:space="preserve"> of the denominator.</w:t>
            </w:r>
          </w:p>
        </w:tc>
      </w:tr>
      <w:tr w:rsidR="00276566" w:rsidTr="00276566">
        <w:tc>
          <w:tcPr>
            <w:tcW w:w="1638" w:type="dxa"/>
            <w:vAlign w:val="center"/>
          </w:tcPr>
          <w:p w:rsidR="00994132" w:rsidRDefault="00276566" w:rsidP="00276566">
            <w:pPr>
              <w:jc w:val="center"/>
            </w:pPr>
            <w:r w:rsidRPr="00276566">
              <w:rPr>
                <w:position w:val="-10"/>
              </w:rPr>
              <w:object w:dxaOrig="1440" w:dyaOrig="420">
                <v:shape id="_x0000_i1033" type="#_x0000_t75" style="width:1in;height:21pt" o:ole="">
                  <v:imagedata r:id="rId20" o:title=""/>
                </v:shape>
                <o:OLEObject Type="Embed" ProgID="Equation.3" ShapeID="_x0000_i1033" DrawAspect="Content" ObjectID="_1394797416" r:id="rId21"/>
              </w:object>
            </w:r>
          </w:p>
        </w:tc>
        <w:tc>
          <w:tcPr>
            <w:tcW w:w="4727" w:type="dxa"/>
            <w:vAlign w:val="center"/>
          </w:tcPr>
          <w:p w:rsidR="00994132" w:rsidRDefault="005118AF" w:rsidP="00276566">
            <w:pPr>
              <w:jc w:val="center"/>
            </w:pPr>
            <w:r w:rsidRPr="00276566">
              <w:rPr>
                <w:position w:val="-30"/>
              </w:rPr>
              <w:object w:dxaOrig="5040" w:dyaOrig="700">
                <v:shape id="_x0000_i1034" type="#_x0000_t75" style="width:252pt;height:35.25pt" o:ole="">
                  <v:imagedata r:id="rId22" o:title=""/>
                </v:shape>
                <o:OLEObject Type="Embed" ProgID="Equation.3" ShapeID="_x0000_i1034" DrawAspect="Content" ObjectID="_1394797417" r:id="rId23"/>
              </w:object>
            </w:r>
          </w:p>
        </w:tc>
        <w:tc>
          <w:tcPr>
            <w:tcW w:w="2851" w:type="dxa"/>
          </w:tcPr>
          <w:p w:rsidR="00994132" w:rsidRDefault="00276566" w:rsidP="00994132">
            <w:r w:rsidRPr="00413175">
              <w:rPr>
                <w:position w:val="-10"/>
              </w:rPr>
              <w:object w:dxaOrig="1180" w:dyaOrig="320">
                <v:shape id="_x0000_i1032" type="#_x0000_t75" style="width:59.25pt;height:15.75pt" o:ole="">
                  <v:imagedata r:id="rId14" o:title=""/>
                </v:shape>
                <o:OLEObject Type="Embed" ProgID="Equation.3" ShapeID="_x0000_i1032" DrawAspect="Content" ObjectID="_1394797418" r:id="rId24"/>
              </w:object>
            </w:r>
            <w:r w:rsidR="00994132">
              <w:t>Clearly includes the third row as a special case.</w:t>
            </w:r>
          </w:p>
        </w:tc>
      </w:tr>
    </w:tbl>
    <w:p w:rsidR="00994132" w:rsidRDefault="00994132" w:rsidP="00994132">
      <w:pPr>
        <w:ind w:left="360"/>
      </w:pPr>
    </w:p>
    <w:p w:rsidR="00516754" w:rsidRDefault="00516754" w:rsidP="00516754"/>
    <w:sectPr w:rsidR="0051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65558"/>
    <w:multiLevelType w:val="hybridMultilevel"/>
    <w:tmpl w:val="8DF2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54"/>
    <w:rsid w:val="00276566"/>
    <w:rsid w:val="00413175"/>
    <w:rsid w:val="005118AF"/>
    <w:rsid w:val="00516754"/>
    <w:rsid w:val="00702558"/>
    <w:rsid w:val="0099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54"/>
    <w:pPr>
      <w:ind w:left="720"/>
      <w:contextualSpacing/>
    </w:pPr>
  </w:style>
  <w:style w:type="table" w:styleId="TableGrid">
    <w:name w:val="Table Grid"/>
    <w:basedOn w:val="TableNormal"/>
    <w:uiPriority w:val="59"/>
    <w:rsid w:val="00994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54"/>
    <w:pPr>
      <w:ind w:left="720"/>
      <w:contextualSpacing/>
    </w:pPr>
  </w:style>
  <w:style w:type="table" w:styleId="TableGrid">
    <w:name w:val="Table Grid"/>
    <w:basedOn w:val="TableNormal"/>
    <w:uiPriority w:val="59"/>
    <w:rsid w:val="00994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2012-04-01T19:15:00Z</dcterms:created>
  <dcterms:modified xsi:type="dcterms:W3CDTF">2012-04-01T19:57:00Z</dcterms:modified>
</cp:coreProperties>
</file>